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E05186" w14:textId="77777777" w:rsidR="004A3F0D" w:rsidRDefault="004A3F0D" w:rsidP="000B79D2">
      <w:pPr>
        <w:shd w:val="clear" w:color="auto" w:fill="FFFFFF"/>
        <w:jc w:val="both"/>
        <w:rPr>
          <w:b/>
          <w:bCs/>
          <w:color w:val="000000"/>
          <w:u w:val="single"/>
          <w:shd w:val="clear" w:color="auto" w:fill="FFFFFF"/>
          <w:lang w:val="es-ES"/>
        </w:rPr>
      </w:pPr>
    </w:p>
    <w:p w14:paraId="5CE62E41" w14:textId="77777777" w:rsidR="004A3F0D" w:rsidRDefault="004A3F0D" w:rsidP="000B79D2">
      <w:pPr>
        <w:shd w:val="clear" w:color="auto" w:fill="FFFFFF"/>
        <w:jc w:val="both"/>
        <w:rPr>
          <w:b/>
          <w:bCs/>
          <w:color w:val="000000"/>
          <w:u w:val="single"/>
          <w:shd w:val="clear" w:color="auto" w:fill="FFFFFF"/>
          <w:lang w:val="es-ES"/>
        </w:rPr>
      </w:pPr>
    </w:p>
    <w:p w14:paraId="2BB79415" w14:textId="6914EE9A" w:rsidR="00F6713A" w:rsidRPr="00670F9D" w:rsidRDefault="00F6713A" w:rsidP="000B79D2">
      <w:pPr>
        <w:shd w:val="clear" w:color="auto" w:fill="FFFFFF"/>
        <w:jc w:val="both"/>
        <w:rPr>
          <w:color w:val="000000"/>
          <w:lang w:val="es-ES"/>
        </w:rPr>
      </w:pPr>
      <w:r w:rsidRPr="00670F9D">
        <w:rPr>
          <w:b/>
          <w:bCs/>
          <w:color w:val="000000"/>
          <w:u w:val="single"/>
          <w:shd w:val="clear" w:color="auto" w:fill="FFFFFF"/>
          <w:lang w:val="es-ES"/>
        </w:rPr>
        <w:t>CIRCULAR N</w:t>
      </w:r>
      <w:r w:rsidR="004A3F0D">
        <w:rPr>
          <w:b/>
          <w:bCs/>
          <w:color w:val="000000"/>
          <w:u w:val="single"/>
          <w:shd w:val="clear" w:color="auto" w:fill="FFFFFF"/>
          <w:lang w:val="es-ES"/>
        </w:rPr>
        <w:t xml:space="preserve">° </w:t>
      </w:r>
      <w:r w:rsidR="000A44DC">
        <w:rPr>
          <w:b/>
          <w:bCs/>
          <w:color w:val="000000"/>
          <w:u w:val="single"/>
          <w:shd w:val="clear" w:color="auto" w:fill="FFFFFF"/>
          <w:lang w:val="es-ES"/>
        </w:rPr>
        <w:t>190</w:t>
      </w:r>
      <w:r w:rsidRPr="00670F9D">
        <w:rPr>
          <w:b/>
          <w:bCs/>
          <w:color w:val="000000"/>
          <w:u w:val="single"/>
          <w:shd w:val="clear" w:color="auto" w:fill="FFFFFF"/>
          <w:lang w:val="es-ES"/>
        </w:rPr>
        <w:t>-202</w:t>
      </w:r>
      <w:r w:rsidR="00816EC1" w:rsidRPr="00670F9D">
        <w:rPr>
          <w:b/>
          <w:bCs/>
          <w:color w:val="000000"/>
          <w:u w:val="single"/>
          <w:shd w:val="clear" w:color="auto" w:fill="FFFFFF"/>
          <w:lang w:val="es-ES"/>
        </w:rPr>
        <w:t>2</w:t>
      </w:r>
      <w:r w:rsidRPr="00670F9D">
        <w:rPr>
          <w:color w:val="000000"/>
          <w:lang w:val="es-ES"/>
        </w:rPr>
        <w:t xml:space="preserve"> </w:t>
      </w:r>
    </w:p>
    <w:p w14:paraId="55E23293" w14:textId="77777777" w:rsidR="008A322E" w:rsidRPr="00670F9D" w:rsidRDefault="008A322E" w:rsidP="000B79D2">
      <w:pPr>
        <w:shd w:val="clear" w:color="auto" w:fill="FFFFFF"/>
        <w:jc w:val="both"/>
        <w:rPr>
          <w:rFonts w:eastAsiaTheme="minorHAnsi"/>
          <w:kern w:val="0"/>
          <w:lang w:val="es-ES"/>
        </w:rPr>
      </w:pPr>
    </w:p>
    <w:p w14:paraId="5AA29FC8" w14:textId="05DC1852" w:rsidR="000C003C" w:rsidRPr="00670F9D" w:rsidRDefault="00F6713A" w:rsidP="000C003C">
      <w:pPr>
        <w:shd w:val="clear" w:color="auto" w:fill="FFFFFF"/>
        <w:jc w:val="both"/>
        <w:rPr>
          <w:shd w:val="clear" w:color="auto" w:fill="FFFFFF"/>
          <w:lang w:val="es-ES"/>
        </w:rPr>
      </w:pPr>
      <w:r w:rsidRPr="00DB1D68">
        <w:rPr>
          <w:b/>
          <w:bCs/>
          <w:color w:val="000000"/>
          <w:u w:val="single"/>
          <w:shd w:val="clear" w:color="auto" w:fill="FFFFFF"/>
          <w:lang w:val="es-ES"/>
        </w:rPr>
        <w:t>Asunto</w:t>
      </w:r>
      <w:r w:rsidRPr="00DB1D68">
        <w:rPr>
          <w:b/>
          <w:bCs/>
          <w:color w:val="000000"/>
          <w:shd w:val="clear" w:color="auto" w:fill="FFFFFF"/>
          <w:lang w:val="es-ES"/>
        </w:rPr>
        <w:t>:</w:t>
      </w:r>
      <w:r w:rsidRPr="00F64346">
        <w:rPr>
          <w:color w:val="000000"/>
          <w:shd w:val="clear" w:color="auto" w:fill="FFFFFF"/>
          <w:lang w:val="es-ES"/>
        </w:rPr>
        <w:t xml:space="preserve"> </w:t>
      </w:r>
      <w:r w:rsidR="00F64346" w:rsidRPr="00F64346">
        <w:rPr>
          <w:rFonts w:eastAsia="Calibri"/>
          <w:sz w:val="23"/>
          <w:szCs w:val="23"/>
          <w:lang w:val="es-CR" w:eastAsia="en-US"/>
        </w:rPr>
        <w:t>Protocolo de seguridad para la verificación de solicitudes de retiro de depósitos judiciales autorizados por medio del sistema de depósitos judiciales autorizados por el sistema de depósitos judiciales con el uso de poderes especiales, especialísimos, generales o generalísimos, en el Banco de Costa Rica</w:t>
      </w:r>
    </w:p>
    <w:p w14:paraId="147243D3" w14:textId="77777777" w:rsidR="00F6713A" w:rsidRPr="00670F9D" w:rsidRDefault="00F6713A" w:rsidP="000B79D2">
      <w:pPr>
        <w:shd w:val="clear" w:color="auto" w:fill="FFFFFF"/>
        <w:jc w:val="both"/>
        <w:rPr>
          <w:lang w:val="es-ES"/>
        </w:rPr>
      </w:pPr>
    </w:p>
    <w:p w14:paraId="7EA0B0C4" w14:textId="2139EE5B" w:rsidR="00F6713A" w:rsidRPr="00670F9D" w:rsidRDefault="00F6713A" w:rsidP="000B79D2">
      <w:pPr>
        <w:shd w:val="clear" w:color="auto" w:fill="FFFFFF"/>
        <w:jc w:val="both"/>
        <w:rPr>
          <w:color w:val="000000"/>
          <w:lang w:val="es-ES"/>
        </w:rPr>
      </w:pPr>
      <w:r w:rsidRPr="00670F9D">
        <w:rPr>
          <w:b/>
          <w:bCs/>
          <w:color w:val="000000"/>
          <w:shd w:val="clear" w:color="auto" w:fill="FFFFFF"/>
          <w:lang w:val="es-ES"/>
        </w:rPr>
        <w:t xml:space="preserve">A </w:t>
      </w:r>
      <w:r w:rsidR="005F2EC1" w:rsidRPr="00670F9D">
        <w:rPr>
          <w:rFonts w:eastAsia="Calibri"/>
          <w:b/>
          <w:bCs/>
          <w:lang w:val="es-CR" w:eastAsia="en-US"/>
        </w:rPr>
        <w:t xml:space="preserve">TODOS LOS DESPACHOS </w:t>
      </w:r>
      <w:r w:rsidR="00F64346">
        <w:rPr>
          <w:rFonts w:eastAsia="Calibri"/>
          <w:b/>
          <w:bCs/>
          <w:lang w:val="es-CR" w:eastAsia="en-US"/>
        </w:rPr>
        <w:t>CIVILES Y DE COBRO JUDICIAL Y LAS ADMINISTRACIONES REGIONALES DE TODO EL PAIS, SE LES HACE SABER:</w:t>
      </w:r>
    </w:p>
    <w:p w14:paraId="1946E95C" w14:textId="77777777" w:rsidR="008A322E" w:rsidRPr="00670F9D" w:rsidRDefault="008A322E" w:rsidP="000B79D2">
      <w:pPr>
        <w:shd w:val="clear" w:color="auto" w:fill="FFFFFF"/>
        <w:jc w:val="both"/>
        <w:rPr>
          <w:lang w:val="es-ES"/>
        </w:rPr>
      </w:pPr>
    </w:p>
    <w:p w14:paraId="6B00D228" w14:textId="2791673A" w:rsidR="008A322E" w:rsidRPr="004A3F0D" w:rsidRDefault="00F6713A" w:rsidP="000B79D2">
      <w:pPr>
        <w:shd w:val="clear" w:color="auto" w:fill="FFFFFF"/>
        <w:jc w:val="both"/>
        <w:rPr>
          <w:color w:val="000000"/>
          <w:lang w:val="es-ES"/>
        </w:rPr>
      </w:pPr>
      <w:r w:rsidRPr="00670F9D">
        <w:rPr>
          <w:b/>
          <w:bCs/>
          <w:color w:val="000000"/>
          <w:u w:val="single"/>
          <w:shd w:val="clear" w:color="auto" w:fill="FFFFFF"/>
          <w:lang w:val="es-ES"/>
        </w:rPr>
        <w:t>SE LES HACE SABER QUE:</w:t>
      </w:r>
      <w:r w:rsidRPr="00670F9D">
        <w:rPr>
          <w:color w:val="000000"/>
          <w:lang w:val="es-ES"/>
        </w:rPr>
        <w:t xml:space="preserve"> </w:t>
      </w:r>
    </w:p>
    <w:p w14:paraId="6A52E8FD" w14:textId="77777777" w:rsidR="00670F9D" w:rsidRPr="00670F9D" w:rsidRDefault="00670F9D" w:rsidP="00670F9D">
      <w:pPr>
        <w:widowControl/>
        <w:suppressAutoHyphens w:val="0"/>
        <w:ind w:firstLine="567"/>
        <w:rPr>
          <w:rFonts w:eastAsia="Calibri"/>
          <w:b/>
          <w:bCs/>
          <w:kern w:val="0"/>
          <w:lang w:eastAsia="en-US"/>
        </w:rPr>
      </w:pPr>
    </w:p>
    <w:p w14:paraId="11BDC938" w14:textId="071ACD9F" w:rsidR="004B3975" w:rsidRPr="00F64346" w:rsidRDefault="00670F9D" w:rsidP="000C003C">
      <w:pPr>
        <w:widowControl/>
        <w:suppressAutoHyphens w:val="0"/>
        <w:autoSpaceDE w:val="0"/>
        <w:autoSpaceDN w:val="0"/>
        <w:ind w:firstLine="709"/>
        <w:jc w:val="both"/>
      </w:pPr>
      <w:r w:rsidRPr="00F64346">
        <w:rPr>
          <w:rFonts w:eastAsia="Calibri"/>
          <w:kern w:val="0"/>
          <w:lang w:eastAsia="en-US"/>
        </w:rPr>
        <w:t xml:space="preserve">El Consejo Superior del Poder Judicial </w:t>
      </w:r>
      <w:r w:rsidR="004A3F0D" w:rsidRPr="00F64346">
        <w:rPr>
          <w:rFonts w:eastAsia="Calibri"/>
          <w:kern w:val="0"/>
          <w:lang w:eastAsia="en-US"/>
        </w:rPr>
        <w:t xml:space="preserve">en sesión N° </w:t>
      </w:r>
      <w:r w:rsidR="00F64346" w:rsidRPr="00F64346">
        <w:rPr>
          <w:rFonts w:eastAsia="Calibri"/>
          <w:kern w:val="0"/>
          <w:lang w:eastAsia="en-US"/>
        </w:rPr>
        <w:t>80</w:t>
      </w:r>
      <w:r w:rsidR="004A3F0D" w:rsidRPr="00F64346">
        <w:rPr>
          <w:rFonts w:eastAsia="Calibri"/>
          <w:kern w:val="0"/>
          <w:lang w:eastAsia="en-US"/>
        </w:rPr>
        <w:t xml:space="preserve">-2022 celebrada el </w:t>
      </w:r>
      <w:r w:rsidR="00F64346" w:rsidRPr="00F64346">
        <w:rPr>
          <w:rFonts w:eastAsia="Calibri"/>
          <w:kern w:val="0"/>
          <w:lang w:eastAsia="en-US"/>
        </w:rPr>
        <w:t>15</w:t>
      </w:r>
      <w:r w:rsidR="004A3F0D" w:rsidRPr="00F64346">
        <w:rPr>
          <w:rFonts w:eastAsia="Calibri"/>
          <w:kern w:val="0"/>
          <w:lang w:eastAsia="en-US"/>
        </w:rPr>
        <w:t xml:space="preserve"> de setiembre del 2022</w:t>
      </w:r>
      <w:r w:rsidRPr="00F64346">
        <w:rPr>
          <w:rFonts w:eastAsia="Calibri"/>
          <w:kern w:val="0"/>
          <w:lang w:eastAsia="en-US"/>
        </w:rPr>
        <w:t xml:space="preserve">, artículo </w:t>
      </w:r>
      <w:r w:rsidR="00F64346" w:rsidRPr="00F64346">
        <w:rPr>
          <w:rFonts w:eastAsia="Calibri"/>
          <w:kern w:val="0"/>
          <w:lang w:eastAsia="en-US"/>
        </w:rPr>
        <w:t>LVI</w:t>
      </w:r>
      <w:r w:rsidRPr="00F64346">
        <w:rPr>
          <w:rFonts w:eastAsia="Calibri"/>
          <w:kern w:val="0"/>
          <w:lang w:eastAsia="en-US"/>
        </w:rPr>
        <w:t xml:space="preserve">, </w:t>
      </w:r>
      <w:r w:rsidR="00F64346" w:rsidRPr="00F64346">
        <w:rPr>
          <w:rFonts w:eastAsia="Calibri"/>
          <w:kern w:val="0"/>
          <w:lang w:eastAsia="en-US"/>
        </w:rPr>
        <w:t xml:space="preserve">según lo indicado por la </w:t>
      </w:r>
      <w:r w:rsidR="00F64346" w:rsidRPr="00F64346">
        <w:rPr>
          <w:sz w:val="23"/>
          <w:szCs w:val="23"/>
          <w:lang w:val="es-CR"/>
        </w:rPr>
        <w:t xml:space="preserve">Comisión de la Jurisdicción Civil en sesión </w:t>
      </w:r>
      <w:r w:rsidR="00F64346" w:rsidRPr="00F64346">
        <w:rPr>
          <w:b/>
          <w:bCs/>
          <w:sz w:val="23"/>
          <w:szCs w:val="23"/>
          <w:lang w:val="es-CR"/>
        </w:rPr>
        <w:t>Nº 10-2022</w:t>
      </w:r>
      <w:r w:rsidR="00F64346" w:rsidRPr="00F64346">
        <w:rPr>
          <w:sz w:val="23"/>
          <w:szCs w:val="23"/>
          <w:lang w:val="es-CR"/>
        </w:rPr>
        <w:t xml:space="preserve"> celebrada el </w:t>
      </w:r>
      <w:r w:rsidR="00F64346" w:rsidRPr="00F64346">
        <w:rPr>
          <w:b/>
          <w:bCs/>
          <w:sz w:val="23"/>
          <w:szCs w:val="23"/>
          <w:lang w:val="es-CR"/>
        </w:rPr>
        <w:t>19 de julio de 2022 artículo XXIV</w:t>
      </w:r>
      <w:r w:rsidR="00F64346" w:rsidRPr="00F64346">
        <w:t xml:space="preserve"> sobre la situación expuesta </w:t>
      </w:r>
      <w:r w:rsidR="00F64346" w:rsidRPr="00F64346">
        <w:rPr>
          <w:rFonts w:eastAsia="Arial"/>
          <w:sz w:val="23"/>
          <w:szCs w:val="23"/>
          <w:shd w:val="clear" w:color="auto" w:fill="FFFFFF"/>
          <w:lang w:val="es-CR" w:eastAsia="en-US"/>
        </w:rPr>
        <w:t>a fin de gestionar los riesgos asociados a la v</w:t>
      </w:r>
      <w:r w:rsidR="00F64346" w:rsidRPr="00F64346">
        <w:rPr>
          <w:rFonts w:eastAsia="Calibri"/>
          <w:sz w:val="23"/>
          <w:szCs w:val="23"/>
          <w:lang w:val="es-CR" w:eastAsia="en-US"/>
        </w:rPr>
        <w:t xml:space="preserve">erificación de </w:t>
      </w:r>
      <w:r w:rsidR="00F64346" w:rsidRPr="00F64346">
        <w:rPr>
          <w:rFonts w:eastAsia="NSimSun"/>
          <w:kern w:val="2"/>
          <w:sz w:val="23"/>
          <w:szCs w:val="23"/>
          <w:lang w:val="es-CR" w:eastAsia="zh-CN" w:bidi="hi-IN"/>
        </w:rPr>
        <w:t>s</w:t>
      </w:r>
      <w:r w:rsidR="00F64346" w:rsidRPr="00F64346">
        <w:rPr>
          <w:rFonts w:eastAsia="Calibri"/>
          <w:sz w:val="23"/>
          <w:szCs w:val="23"/>
          <w:lang w:val="es-CR" w:eastAsia="en-US"/>
        </w:rPr>
        <w:t xml:space="preserve">olicitudes de </w:t>
      </w:r>
      <w:r w:rsidR="00F64346" w:rsidRPr="00F64346">
        <w:rPr>
          <w:rFonts w:eastAsia="NSimSun"/>
          <w:kern w:val="2"/>
          <w:sz w:val="23"/>
          <w:szCs w:val="23"/>
          <w:lang w:val="es-CR" w:eastAsia="zh-CN" w:bidi="hi-IN"/>
        </w:rPr>
        <w:t>r</w:t>
      </w:r>
      <w:r w:rsidR="00F64346" w:rsidRPr="00F64346">
        <w:rPr>
          <w:rFonts w:eastAsia="Calibri"/>
          <w:sz w:val="23"/>
          <w:szCs w:val="23"/>
          <w:lang w:val="es-CR" w:eastAsia="en-US"/>
        </w:rPr>
        <w:t xml:space="preserve">etiro de </w:t>
      </w:r>
      <w:r w:rsidR="00F64346" w:rsidRPr="00F64346">
        <w:rPr>
          <w:rFonts w:eastAsia="NSimSun"/>
          <w:kern w:val="2"/>
          <w:sz w:val="23"/>
          <w:szCs w:val="23"/>
          <w:lang w:val="es-CR" w:eastAsia="zh-CN" w:bidi="hi-IN"/>
        </w:rPr>
        <w:t>d</w:t>
      </w:r>
      <w:r w:rsidR="00F64346" w:rsidRPr="00F64346">
        <w:rPr>
          <w:rFonts w:eastAsia="Calibri"/>
          <w:sz w:val="23"/>
          <w:szCs w:val="23"/>
          <w:lang w:val="es-CR" w:eastAsia="en-US"/>
        </w:rPr>
        <w:t xml:space="preserve">epósitos </w:t>
      </w:r>
      <w:r w:rsidR="00F64346" w:rsidRPr="00F64346">
        <w:rPr>
          <w:rFonts w:eastAsia="NSimSun"/>
          <w:kern w:val="2"/>
          <w:sz w:val="23"/>
          <w:szCs w:val="23"/>
          <w:lang w:val="es-CR" w:eastAsia="zh-CN" w:bidi="hi-IN"/>
        </w:rPr>
        <w:t>j</w:t>
      </w:r>
      <w:r w:rsidR="00F64346" w:rsidRPr="00F64346">
        <w:rPr>
          <w:rFonts w:eastAsia="Calibri"/>
          <w:sz w:val="23"/>
          <w:szCs w:val="23"/>
          <w:lang w:val="es-CR" w:eastAsia="en-US"/>
        </w:rPr>
        <w:t xml:space="preserve">udiciales </w:t>
      </w:r>
      <w:r w:rsidR="00F64346" w:rsidRPr="00F64346">
        <w:rPr>
          <w:rFonts w:eastAsia="NSimSun"/>
          <w:kern w:val="2"/>
          <w:sz w:val="23"/>
          <w:szCs w:val="23"/>
          <w:lang w:val="es-CR" w:eastAsia="zh-CN" w:bidi="hi-IN"/>
        </w:rPr>
        <w:t>a</w:t>
      </w:r>
      <w:r w:rsidR="00F64346" w:rsidRPr="00F64346">
        <w:rPr>
          <w:rFonts w:eastAsia="Calibri"/>
          <w:sz w:val="23"/>
          <w:szCs w:val="23"/>
          <w:lang w:val="es-CR" w:eastAsia="en-US"/>
        </w:rPr>
        <w:t>utorizados por medio del Sistema de Depósitos Judiciales con el uso de poderes, Especiales, Especialísimos, Generales, o Generalísimos, en sucursales del Banco de Costa Ric</w:t>
      </w:r>
      <w:r w:rsidR="00F64346">
        <w:rPr>
          <w:rFonts w:eastAsia="Calibri"/>
          <w:sz w:val="23"/>
          <w:szCs w:val="23"/>
          <w:lang w:val="es-CR" w:eastAsia="en-US"/>
        </w:rPr>
        <w:t>a.</w:t>
      </w:r>
    </w:p>
    <w:p w14:paraId="643D7D14" w14:textId="77777777" w:rsidR="00F64346" w:rsidRPr="00436468" w:rsidRDefault="00F64346" w:rsidP="00F64346">
      <w:pPr>
        <w:suppressAutoHyphens w:val="0"/>
        <w:ind w:left="851" w:right="851"/>
        <w:jc w:val="both"/>
        <w:rPr>
          <w:rFonts w:eastAsia="Calibri"/>
          <w:i/>
          <w:iCs/>
          <w:sz w:val="23"/>
          <w:szCs w:val="23"/>
          <w:lang w:val="es-C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9"/>
        <w:gridCol w:w="5390"/>
        <w:gridCol w:w="2140"/>
      </w:tblGrid>
      <w:tr w:rsidR="00F64346" w:rsidRPr="00436468" w14:paraId="59F4677B" w14:textId="77777777" w:rsidTr="003A1ACB">
        <w:tc>
          <w:tcPr>
            <w:tcW w:w="711" w:type="pct"/>
          </w:tcPr>
          <w:p w14:paraId="25F44687"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 xml:space="preserve">N.º de </w:t>
            </w:r>
          </w:p>
          <w:p w14:paraId="27426FDA" w14:textId="77777777" w:rsidR="00F64346" w:rsidRPr="00436468" w:rsidRDefault="00F64346" w:rsidP="003A1ACB">
            <w:pPr>
              <w:suppressLineNumbers/>
              <w:jc w:val="both"/>
              <w:rPr>
                <w:rFonts w:eastAsia="NSimSun"/>
                <w:i/>
                <w:iCs/>
                <w:kern w:val="2"/>
                <w:sz w:val="23"/>
                <w:szCs w:val="23"/>
                <w:lang w:val="es-CR" w:eastAsia="zh-CN" w:bidi="hi-IN"/>
              </w:rPr>
            </w:pPr>
          </w:p>
          <w:p w14:paraId="3AC9CA9F"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Etapa</w:t>
            </w:r>
          </w:p>
        </w:tc>
        <w:tc>
          <w:tcPr>
            <w:tcW w:w="3070" w:type="pct"/>
          </w:tcPr>
          <w:p w14:paraId="6A6F1A17"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Actividad</w:t>
            </w:r>
          </w:p>
        </w:tc>
        <w:tc>
          <w:tcPr>
            <w:tcW w:w="1219" w:type="pct"/>
          </w:tcPr>
          <w:p w14:paraId="4348C683"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Responsable</w:t>
            </w:r>
          </w:p>
        </w:tc>
      </w:tr>
      <w:tr w:rsidR="00F64346" w:rsidRPr="00436468" w14:paraId="6FB3C3E8" w14:textId="77777777" w:rsidTr="003A1ACB">
        <w:tc>
          <w:tcPr>
            <w:tcW w:w="711" w:type="pct"/>
          </w:tcPr>
          <w:p w14:paraId="1032B600"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 xml:space="preserve"> 01</w:t>
            </w:r>
          </w:p>
        </w:tc>
        <w:tc>
          <w:tcPr>
            <w:tcW w:w="3070" w:type="pct"/>
          </w:tcPr>
          <w:p w14:paraId="047CC916"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 xml:space="preserve">Cuando por medio de un Poder (Especial, Especialísimo, General, General Judicial o Generalísimo) se solicite el retiro de fondos relacionados con un expediente tramitado en materia de Cobro Judicial o Civil, el cajero del BCR deberá de informar a la persona que la solicitud quedará sujeta a revisión. A efectos de poder informar sobre el resultado de la revisión, el personal del BCR solicitará los datos a la persona solicitante, así como un número telefónico para localizarlo. No procederá este procedimiento ni el retiro de fondos cuando se invoque por la persona solicitante ante el BCR el poder ex lege del artículo 20.2 del Código Procesal Civil, por </w:t>
            </w:r>
            <w:r w:rsidRPr="00436468">
              <w:rPr>
                <w:rFonts w:eastAsia="NSimSun"/>
                <w:i/>
                <w:iCs/>
                <w:kern w:val="2"/>
                <w:sz w:val="23"/>
                <w:szCs w:val="23"/>
                <w:lang w:val="es-CR" w:eastAsia="zh-CN" w:bidi="hi-IN"/>
              </w:rPr>
              <w:t>versar</w:t>
            </w:r>
            <w:r w:rsidRPr="00436468">
              <w:rPr>
                <w:rFonts w:eastAsia="Calibri"/>
                <w:i/>
                <w:iCs/>
                <w:sz w:val="23"/>
                <w:szCs w:val="23"/>
                <w:lang w:val="es-CR" w:eastAsia="en-US"/>
              </w:rPr>
              <w:t xml:space="preserve"> </w:t>
            </w:r>
            <w:r w:rsidRPr="00436468">
              <w:rPr>
                <w:rFonts w:eastAsia="NSimSun"/>
                <w:i/>
                <w:iCs/>
                <w:kern w:val="2"/>
                <w:sz w:val="23"/>
                <w:szCs w:val="23"/>
                <w:lang w:val="es-CR" w:eastAsia="zh-CN" w:bidi="hi-IN"/>
              </w:rPr>
              <w:t>este</w:t>
            </w:r>
            <w:r w:rsidRPr="00436468">
              <w:rPr>
                <w:rFonts w:eastAsia="Calibri"/>
                <w:i/>
                <w:iCs/>
                <w:sz w:val="23"/>
                <w:szCs w:val="23"/>
                <w:lang w:val="es-CR" w:eastAsia="en-US"/>
              </w:rPr>
              <w:t xml:space="preserve"> </w:t>
            </w:r>
            <w:r w:rsidRPr="00436468">
              <w:rPr>
                <w:rFonts w:eastAsia="NSimSun"/>
                <w:i/>
                <w:iCs/>
                <w:kern w:val="2"/>
                <w:sz w:val="23"/>
                <w:szCs w:val="23"/>
                <w:lang w:val="es-CR" w:eastAsia="zh-CN" w:bidi="hi-IN"/>
              </w:rPr>
              <w:t>sobre</w:t>
            </w:r>
            <w:r w:rsidRPr="00436468">
              <w:rPr>
                <w:rFonts w:eastAsia="Calibri"/>
                <w:i/>
                <w:iCs/>
                <w:sz w:val="23"/>
                <w:szCs w:val="23"/>
                <w:lang w:val="es-CR" w:eastAsia="en-US"/>
              </w:rPr>
              <w:t xml:space="preserve"> efectos meramente procesales.</w:t>
            </w:r>
          </w:p>
        </w:tc>
        <w:tc>
          <w:tcPr>
            <w:tcW w:w="1219" w:type="pct"/>
          </w:tcPr>
          <w:p w14:paraId="423B157A"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 xml:space="preserve"> Banco de Costa Rica</w:t>
            </w:r>
          </w:p>
        </w:tc>
      </w:tr>
      <w:tr w:rsidR="00F64346" w:rsidRPr="00436468" w14:paraId="2CFC1AC5" w14:textId="77777777" w:rsidTr="003A1ACB">
        <w:tc>
          <w:tcPr>
            <w:tcW w:w="711" w:type="pct"/>
          </w:tcPr>
          <w:p w14:paraId="5E6F8C46"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02</w:t>
            </w:r>
          </w:p>
        </w:tc>
        <w:tc>
          <w:tcPr>
            <w:tcW w:w="3070" w:type="pct"/>
          </w:tcPr>
          <w:p w14:paraId="78652FF8"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Posteriormente, la oficina comercial del BCR deberá escanear el documento con el que se pretende demostrar la existencia del poder y remitirlo al correo electrónico: ejecutivosbcrpoderjudicial@bancobcr.com.</w:t>
            </w:r>
          </w:p>
          <w:p w14:paraId="5CEE356D"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 xml:space="preserve">Los ejecutivos lo enviarán a la persona Administradora del Circuito al cual corresponde el despacho, indicando el número de expediente, nombre y número de cédula de la persona beneficiaria (a la que se le ha aprobado el giro), </w:t>
            </w:r>
            <w:r w:rsidRPr="00436468">
              <w:rPr>
                <w:rFonts w:eastAsia="Calibri"/>
                <w:i/>
                <w:iCs/>
                <w:sz w:val="23"/>
                <w:szCs w:val="23"/>
                <w:lang w:val="es-CR" w:eastAsia="en-US"/>
              </w:rPr>
              <w:lastRenderedPageBreak/>
              <w:t>lo cual se deberá de hacer el mismo día de la presentación del documento con el que se pretende demostrar la existencia del poder ante la sucursal bancaria.</w:t>
            </w:r>
          </w:p>
        </w:tc>
        <w:tc>
          <w:tcPr>
            <w:tcW w:w="1219" w:type="pct"/>
          </w:tcPr>
          <w:p w14:paraId="39848C03"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lastRenderedPageBreak/>
              <w:t xml:space="preserve"> Banco de Costa Rica</w:t>
            </w:r>
          </w:p>
        </w:tc>
      </w:tr>
      <w:tr w:rsidR="00F64346" w:rsidRPr="00436468" w14:paraId="4EAA7A43" w14:textId="77777777" w:rsidTr="003A1ACB">
        <w:tc>
          <w:tcPr>
            <w:tcW w:w="711" w:type="pct"/>
          </w:tcPr>
          <w:p w14:paraId="5E9BBC93"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03</w:t>
            </w:r>
          </w:p>
        </w:tc>
        <w:tc>
          <w:tcPr>
            <w:tcW w:w="3070" w:type="pct"/>
          </w:tcPr>
          <w:p w14:paraId="179E3869"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La persona Administradora Regional deberá de contactar a la autoridad judicial que autorizó la orden de pago y solicitar que verifique en el expediente los datos de la persona. Esta labor se deberá realizar como máximo en un día hábil de recibir el correo señalado en el punto 2.</w:t>
            </w:r>
          </w:p>
        </w:tc>
        <w:tc>
          <w:tcPr>
            <w:tcW w:w="1219" w:type="pct"/>
          </w:tcPr>
          <w:p w14:paraId="2BE6C1ED"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 xml:space="preserve"> Persona administradora regional</w:t>
            </w:r>
          </w:p>
        </w:tc>
      </w:tr>
      <w:tr w:rsidR="00F64346" w:rsidRPr="00436468" w14:paraId="0B51AA65" w14:textId="77777777" w:rsidTr="003A1ACB">
        <w:tc>
          <w:tcPr>
            <w:tcW w:w="711" w:type="pct"/>
          </w:tcPr>
          <w:p w14:paraId="7D213C05"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04</w:t>
            </w:r>
          </w:p>
        </w:tc>
        <w:tc>
          <w:tcPr>
            <w:tcW w:w="3070" w:type="pct"/>
          </w:tcPr>
          <w:p w14:paraId="7F088A4B"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 xml:space="preserve">Posteriormente, se deberá de contactar a la persona beneficiaria por los medios disponibles para consultar si autorizó a un tercero para el retiro de los </w:t>
            </w:r>
            <w:r w:rsidRPr="00436468">
              <w:rPr>
                <w:rFonts w:eastAsia="NSimSun"/>
                <w:i/>
                <w:iCs/>
                <w:kern w:val="2"/>
                <w:sz w:val="23"/>
                <w:szCs w:val="23"/>
                <w:lang w:val="es-CR" w:eastAsia="zh-CN" w:bidi="hi-IN"/>
              </w:rPr>
              <w:t>fondos</w:t>
            </w:r>
            <w:r w:rsidRPr="00436468">
              <w:rPr>
                <w:rFonts w:eastAsia="Calibri"/>
                <w:i/>
                <w:iCs/>
                <w:sz w:val="23"/>
                <w:szCs w:val="23"/>
                <w:lang w:val="es-CR" w:eastAsia="en-US"/>
              </w:rPr>
              <w:t xml:space="preserve"> a su favor por medio de cualquier tipo de poder de los antes reseñados en el punto 1 y se plasmará en constancia esa respuesta. Esta labor se deberá realizar como máximo en un día hábil, a partir del requerimiento de la Administración Regional.</w:t>
            </w:r>
          </w:p>
        </w:tc>
        <w:tc>
          <w:tcPr>
            <w:tcW w:w="1219" w:type="pct"/>
          </w:tcPr>
          <w:p w14:paraId="05AE5077"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Persona juzgadora que autorizó el giro</w:t>
            </w:r>
          </w:p>
        </w:tc>
      </w:tr>
      <w:tr w:rsidR="00F64346" w:rsidRPr="00436468" w14:paraId="37C9588D" w14:textId="77777777" w:rsidTr="003A1ACB">
        <w:tc>
          <w:tcPr>
            <w:tcW w:w="711" w:type="pct"/>
          </w:tcPr>
          <w:p w14:paraId="57028AE7"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05</w:t>
            </w:r>
          </w:p>
        </w:tc>
        <w:tc>
          <w:tcPr>
            <w:tcW w:w="3070" w:type="pct"/>
          </w:tcPr>
          <w:p w14:paraId="1797B230"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 xml:space="preserve">Comunicar de manera inmediata a la persona Administradora Regional por medio de correo electrónico el resultado de la consulta </w:t>
            </w:r>
            <w:r w:rsidRPr="00436468">
              <w:rPr>
                <w:rFonts w:eastAsia="NSimSun"/>
                <w:i/>
                <w:iCs/>
                <w:kern w:val="2"/>
                <w:sz w:val="23"/>
                <w:szCs w:val="23"/>
                <w:lang w:val="es-CR" w:eastAsia="zh-CN" w:bidi="hi-IN"/>
              </w:rPr>
              <w:t>formulada a</w:t>
            </w:r>
            <w:r w:rsidRPr="00436468">
              <w:rPr>
                <w:rFonts w:eastAsia="Calibri"/>
                <w:i/>
                <w:iCs/>
                <w:sz w:val="23"/>
                <w:szCs w:val="23"/>
                <w:lang w:val="es-CR" w:eastAsia="en-US"/>
              </w:rPr>
              <w:t xml:space="preserve"> la persona beneficiaria.</w:t>
            </w:r>
          </w:p>
        </w:tc>
        <w:tc>
          <w:tcPr>
            <w:tcW w:w="1219" w:type="pct"/>
          </w:tcPr>
          <w:p w14:paraId="319B8EFD"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 xml:space="preserve"> Persona juzgadora que autorizó el giro</w:t>
            </w:r>
          </w:p>
        </w:tc>
      </w:tr>
      <w:tr w:rsidR="00F64346" w:rsidRPr="00436468" w14:paraId="005DB72F" w14:textId="77777777" w:rsidTr="003A1ACB">
        <w:tc>
          <w:tcPr>
            <w:tcW w:w="711" w:type="pct"/>
          </w:tcPr>
          <w:p w14:paraId="4256EE7E"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06</w:t>
            </w:r>
          </w:p>
        </w:tc>
        <w:tc>
          <w:tcPr>
            <w:tcW w:w="3070" w:type="pct"/>
          </w:tcPr>
          <w:p w14:paraId="1C082660"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 xml:space="preserve">Luego, la persona administradora regional, recibe la información de la persona juzgadora del despacho judicial y comunica el resultado al BCR por medio del correo </w:t>
            </w:r>
            <w:hyperlink r:id="rId7">
              <w:r w:rsidRPr="00436468">
                <w:rPr>
                  <w:rFonts w:eastAsia="Calibri"/>
                  <w:i/>
                  <w:iCs/>
                  <w:sz w:val="23"/>
                  <w:szCs w:val="23"/>
                  <w:u w:val="single"/>
                  <w:lang w:val="es-CR" w:eastAsia="en-US"/>
                </w:rPr>
                <w:t>ejecutivosbcrpoderjudicial@bancobcr.com</w:t>
              </w:r>
            </w:hyperlink>
            <w:hyperlink r:id="rId8">
              <w:r w:rsidRPr="00436468">
                <w:rPr>
                  <w:rFonts w:eastAsia="Calibri"/>
                  <w:i/>
                  <w:iCs/>
                  <w:sz w:val="23"/>
                  <w:szCs w:val="23"/>
                  <w:u w:val="single"/>
                  <w:lang w:val="es-CR" w:eastAsia="en-US"/>
                </w:rPr>
                <w:t xml:space="preserve">. </w:t>
              </w:r>
            </w:hyperlink>
            <w:r w:rsidRPr="00436468">
              <w:rPr>
                <w:rFonts w:eastAsia="Calibri"/>
                <w:i/>
                <w:iCs/>
                <w:sz w:val="23"/>
                <w:szCs w:val="23"/>
                <w:lang w:val="es-CR" w:eastAsia="en-US"/>
              </w:rPr>
              <w:t>Para ello, tendrá dos opciones de contestación:</w:t>
            </w:r>
          </w:p>
          <w:p w14:paraId="7FB4F91A" w14:textId="77777777" w:rsidR="00F64346" w:rsidRPr="00436468" w:rsidRDefault="00F64346" w:rsidP="003A1ACB">
            <w:pPr>
              <w:suppressAutoHyphens w:val="0"/>
              <w:rPr>
                <w:rFonts w:eastAsia="Calibri"/>
                <w:i/>
                <w:iCs/>
                <w:sz w:val="23"/>
                <w:szCs w:val="23"/>
                <w:lang w:val="es-CR" w:eastAsia="en-US"/>
              </w:rPr>
            </w:pPr>
          </w:p>
          <w:p w14:paraId="5CC55E8B" w14:textId="77777777" w:rsidR="00F64346" w:rsidRPr="00436468" w:rsidRDefault="00F64346" w:rsidP="003A1ACB">
            <w:pPr>
              <w:suppressAutoHyphens w:val="0"/>
              <w:jc w:val="both"/>
              <w:rPr>
                <w:rFonts w:eastAsia="Calibri"/>
                <w:b/>
                <w:bCs/>
                <w:i/>
                <w:iCs/>
                <w:sz w:val="23"/>
                <w:szCs w:val="23"/>
                <w:lang w:val="es-CR" w:eastAsia="en-US"/>
              </w:rPr>
            </w:pPr>
            <w:r w:rsidRPr="00436468">
              <w:rPr>
                <w:rFonts w:eastAsia="Calibri"/>
                <w:b/>
                <w:bCs/>
                <w:i/>
                <w:iCs/>
                <w:sz w:val="23"/>
                <w:szCs w:val="23"/>
                <w:lang w:val="es-CR" w:eastAsia="en-US"/>
              </w:rPr>
              <w:t>1. No pagar:</w:t>
            </w:r>
          </w:p>
          <w:p w14:paraId="1AC8DD54"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 xml:space="preserve">1.1. </w:t>
            </w:r>
            <w:r w:rsidRPr="00436468">
              <w:rPr>
                <w:rFonts w:eastAsia="NSimSun"/>
                <w:i/>
                <w:iCs/>
                <w:kern w:val="2"/>
                <w:sz w:val="23"/>
                <w:szCs w:val="23"/>
                <w:lang w:val="es-CR" w:eastAsia="zh-CN" w:bidi="hi-IN"/>
              </w:rPr>
              <w:t>Cuando la persona beneficiaria de la autorización del giro haya indicado que no otorgó poder alguno</w:t>
            </w:r>
            <w:r w:rsidRPr="00436468">
              <w:rPr>
                <w:rFonts w:eastAsia="Calibri"/>
                <w:i/>
                <w:iCs/>
                <w:sz w:val="23"/>
                <w:szCs w:val="23"/>
                <w:lang w:val="es-CR" w:eastAsia="en-US"/>
              </w:rPr>
              <w:t>.</w:t>
            </w:r>
          </w:p>
          <w:p w14:paraId="26DFA966"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1.2. Cuando no haya sido posible localizar a la persona beneficiaria.</w:t>
            </w:r>
          </w:p>
          <w:p w14:paraId="6D726546" w14:textId="77777777" w:rsidR="00F64346" w:rsidRPr="00436468" w:rsidRDefault="00F64346" w:rsidP="003A1ACB">
            <w:pPr>
              <w:suppressAutoHyphens w:val="0"/>
              <w:jc w:val="both"/>
              <w:rPr>
                <w:rFonts w:eastAsia="Calibri"/>
                <w:i/>
                <w:iCs/>
                <w:sz w:val="23"/>
                <w:szCs w:val="23"/>
                <w:lang w:val="es-CR" w:eastAsia="en-US"/>
              </w:rPr>
            </w:pPr>
          </w:p>
          <w:p w14:paraId="58A4299C" w14:textId="77777777" w:rsidR="00F64346" w:rsidRPr="00436468" w:rsidRDefault="00F64346" w:rsidP="003A1ACB">
            <w:pPr>
              <w:suppressAutoHyphens w:val="0"/>
              <w:jc w:val="both"/>
              <w:rPr>
                <w:rFonts w:eastAsia="Calibri"/>
                <w:b/>
                <w:bCs/>
                <w:i/>
                <w:iCs/>
                <w:sz w:val="23"/>
                <w:szCs w:val="23"/>
                <w:lang w:val="es-CR" w:eastAsia="en-US"/>
              </w:rPr>
            </w:pPr>
            <w:r w:rsidRPr="00436468">
              <w:rPr>
                <w:rFonts w:eastAsia="Calibri"/>
                <w:b/>
                <w:bCs/>
                <w:i/>
                <w:iCs/>
                <w:sz w:val="23"/>
                <w:szCs w:val="23"/>
                <w:lang w:val="es-CR" w:eastAsia="en-US"/>
              </w:rPr>
              <w:t>2. Sí pagar:</w:t>
            </w:r>
          </w:p>
          <w:p w14:paraId="2CDD3731" w14:textId="77777777" w:rsidR="00F64346" w:rsidRPr="00436468" w:rsidRDefault="00F64346" w:rsidP="003A1ACB">
            <w:pPr>
              <w:suppressAutoHyphens w:val="0"/>
              <w:jc w:val="both"/>
              <w:rPr>
                <w:rFonts w:eastAsia="Calibri"/>
                <w:i/>
                <w:iCs/>
                <w:sz w:val="23"/>
                <w:szCs w:val="23"/>
                <w:lang w:val="es-CR" w:eastAsia="en-US"/>
              </w:rPr>
            </w:pPr>
            <w:r w:rsidRPr="00436468">
              <w:rPr>
                <w:rFonts w:eastAsia="NSimSun"/>
                <w:i/>
                <w:iCs/>
                <w:kern w:val="2"/>
                <w:sz w:val="23"/>
                <w:szCs w:val="23"/>
                <w:lang w:val="es-CR" w:eastAsia="zh-CN" w:bidi="hi-IN"/>
              </w:rPr>
              <w:t xml:space="preserve">Cuando </w:t>
            </w:r>
            <w:r w:rsidRPr="00436468">
              <w:rPr>
                <w:rFonts w:eastAsia="Calibri"/>
                <w:i/>
                <w:iCs/>
                <w:sz w:val="23"/>
                <w:szCs w:val="23"/>
                <w:lang w:val="es-CR" w:eastAsia="en-US"/>
              </w:rPr>
              <w:t xml:space="preserve">por medio del despacho judicial fue posible verificar </w:t>
            </w:r>
            <w:r w:rsidRPr="00436468">
              <w:rPr>
                <w:rFonts w:eastAsia="NSimSun"/>
                <w:i/>
                <w:iCs/>
                <w:kern w:val="2"/>
                <w:sz w:val="23"/>
                <w:szCs w:val="23"/>
                <w:lang w:val="es-CR" w:eastAsia="zh-CN" w:bidi="hi-IN"/>
              </w:rPr>
              <w:t>con</w:t>
            </w:r>
            <w:r w:rsidRPr="00436468">
              <w:rPr>
                <w:rFonts w:eastAsia="Calibri"/>
                <w:i/>
                <w:iCs/>
                <w:sz w:val="23"/>
                <w:szCs w:val="23"/>
                <w:lang w:val="es-CR" w:eastAsia="en-US"/>
              </w:rPr>
              <w:t xml:space="preserve"> la persona beneficiaria la autenticidad del poder presentado en el BCR para el retiro de los fondos.</w:t>
            </w:r>
          </w:p>
        </w:tc>
        <w:tc>
          <w:tcPr>
            <w:tcW w:w="1219" w:type="pct"/>
          </w:tcPr>
          <w:p w14:paraId="3D9B0D65"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 xml:space="preserve"> Persona administradora regional</w:t>
            </w:r>
          </w:p>
        </w:tc>
      </w:tr>
      <w:tr w:rsidR="00F64346" w:rsidRPr="00436468" w14:paraId="5D760EDC" w14:textId="77777777" w:rsidTr="003A1ACB">
        <w:tc>
          <w:tcPr>
            <w:tcW w:w="711" w:type="pct"/>
          </w:tcPr>
          <w:p w14:paraId="2649313C"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07</w:t>
            </w:r>
          </w:p>
        </w:tc>
        <w:tc>
          <w:tcPr>
            <w:tcW w:w="3070" w:type="pct"/>
          </w:tcPr>
          <w:p w14:paraId="60F29640"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 xml:space="preserve">En caso de que </w:t>
            </w:r>
            <w:r w:rsidRPr="00436468">
              <w:rPr>
                <w:rFonts w:eastAsia="Calibri"/>
                <w:b/>
                <w:bCs/>
                <w:i/>
                <w:iCs/>
                <w:sz w:val="23"/>
                <w:szCs w:val="23"/>
                <w:lang w:val="es-CR" w:eastAsia="en-US"/>
              </w:rPr>
              <w:t xml:space="preserve">la respuesta sea no pagar </w:t>
            </w:r>
            <w:r w:rsidRPr="00436468">
              <w:rPr>
                <w:rFonts w:eastAsia="Calibri"/>
                <w:i/>
                <w:iCs/>
                <w:sz w:val="23"/>
                <w:szCs w:val="23"/>
                <w:lang w:val="es-CR" w:eastAsia="en-US"/>
              </w:rPr>
              <w:t>porque se comprobó que la persona beneficiaria no otorgó el poder, los Ejecutivos del BCR comunicarán al área de investigaciones para que proceda en coordinación con el OIJ con lo que corresponda.</w:t>
            </w:r>
          </w:p>
          <w:p w14:paraId="557AFA1A" w14:textId="77777777" w:rsidR="00F64346" w:rsidRPr="00436468" w:rsidRDefault="00F64346" w:rsidP="003A1ACB">
            <w:pPr>
              <w:suppressAutoHyphens w:val="0"/>
              <w:jc w:val="both"/>
              <w:rPr>
                <w:rFonts w:eastAsia="Calibri"/>
                <w:i/>
                <w:iCs/>
                <w:sz w:val="23"/>
                <w:szCs w:val="23"/>
                <w:lang w:val="es-CR" w:eastAsia="en-US"/>
              </w:rPr>
            </w:pPr>
            <w:r w:rsidRPr="00436468">
              <w:rPr>
                <w:rFonts w:eastAsia="Calibri"/>
                <w:i/>
                <w:iCs/>
                <w:sz w:val="23"/>
                <w:szCs w:val="23"/>
                <w:lang w:val="es-CR" w:eastAsia="en-US"/>
              </w:rPr>
              <w:t>En los casos en que no haya sido posible localizar a la persona beneficiaria, el BCR lo informará así a la persona solicitante para que gestione lo correspondiente con la persona beneficiaria.</w:t>
            </w:r>
          </w:p>
        </w:tc>
        <w:tc>
          <w:tcPr>
            <w:tcW w:w="1219" w:type="pct"/>
          </w:tcPr>
          <w:p w14:paraId="69D9A404"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t>Banco de Costa Rica</w:t>
            </w:r>
          </w:p>
        </w:tc>
      </w:tr>
      <w:tr w:rsidR="00F64346" w:rsidRPr="00436468" w14:paraId="1EF46833" w14:textId="77777777" w:rsidTr="003A1ACB">
        <w:tc>
          <w:tcPr>
            <w:tcW w:w="711" w:type="pct"/>
          </w:tcPr>
          <w:p w14:paraId="1524ECDC"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08</w:t>
            </w:r>
          </w:p>
        </w:tc>
        <w:tc>
          <w:tcPr>
            <w:tcW w:w="3070" w:type="pct"/>
          </w:tcPr>
          <w:p w14:paraId="449F6CB8" w14:textId="77777777" w:rsidR="00F64346" w:rsidRPr="00436468" w:rsidRDefault="00F64346" w:rsidP="003A1ACB">
            <w:pPr>
              <w:suppressLineNumbers/>
              <w:jc w:val="both"/>
              <w:rPr>
                <w:rFonts w:eastAsia="NSimSun"/>
                <w:i/>
                <w:iCs/>
                <w:kern w:val="2"/>
                <w:sz w:val="23"/>
                <w:szCs w:val="23"/>
                <w:lang w:val="es-CR" w:eastAsia="zh-CN" w:bidi="hi-IN"/>
              </w:rPr>
            </w:pPr>
            <w:r w:rsidRPr="00436468">
              <w:rPr>
                <w:rFonts w:eastAsia="NSimSun"/>
                <w:i/>
                <w:iCs/>
                <w:kern w:val="2"/>
                <w:sz w:val="23"/>
                <w:szCs w:val="23"/>
                <w:lang w:val="es-CR" w:eastAsia="zh-CN" w:bidi="hi-IN"/>
              </w:rPr>
              <w:t xml:space="preserve">Al menos una vez al mes, la administración regional deberá de confeccionar un listado de las consultas </w:t>
            </w:r>
            <w:r w:rsidRPr="00436468">
              <w:rPr>
                <w:rFonts w:eastAsia="NSimSun"/>
                <w:i/>
                <w:iCs/>
                <w:kern w:val="2"/>
                <w:sz w:val="23"/>
                <w:szCs w:val="23"/>
                <w:lang w:val="es-CR" w:eastAsia="zh-CN" w:bidi="hi-IN"/>
              </w:rPr>
              <w:lastRenderedPageBreak/>
              <w:t>generadas por los motivos indicados en el punto 02, las cuales serán comunicadas a la Dirección Ejecutiva y a la Dirección de Planificación con el objeto de que la función de consulta que realicen las personas funcionarias sea medible y se valoren los ajustes necesarios en la fijación de cuotas en caso de ser necesarios y así lo estimen las oficinas encargadas.</w:t>
            </w:r>
          </w:p>
        </w:tc>
        <w:tc>
          <w:tcPr>
            <w:tcW w:w="1219" w:type="pct"/>
          </w:tcPr>
          <w:p w14:paraId="331A9C8C" w14:textId="77777777" w:rsidR="00F64346" w:rsidRPr="00436468" w:rsidRDefault="00F64346" w:rsidP="003A1ACB">
            <w:pPr>
              <w:suppressLineNumbers/>
              <w:jc w:val="center"/>
              <w:rPr>
                <w:rFonts w:eastAsia="NSimSun"/>
                <w:i/>
                <w:iCs/>
                <w:kern w:val="2"/>
                <w:sz w:val="23"/>
                <w:szCs w:val="23"/>
                <w:lang w:val="es-CR" w:eastAsia="zh-CN" w:bidi="hi-IN"/>
              </w:rPr>
            </w:pPr>
            <w:r w:rsidRPr="00436468">
              <w:rPr>
                <w:rFonts w:eastAsia="NSimSun"/>
                <w:i/>
                <w:iCs/>
                <w:kern w:val="2"/>
                <w:sz w:val="23"/>
                <w:szCs w:val="23"/>
                <w:lang w:val="es-CR" w:eastAsia="zh-CN" w:bidi="hi-IN"/>
              </w:rPr>
              <w:lastRenderedPageBreak/>
              <w:t xml:space="preserve"> Persona administradora        </w:t>
            </w:r>
            <w:r w:rsidRPr="00436468">
              <w:rPr>
                <w:rFonts w:eastAsia="NSimSun"/>
                <w:i/>
                <w:iCs/>
                <w:kern w:val="2"/>
                <w:sz w:val="23"/>
                <w:szCs w:val="23"/>
                <w:lang w:val="es-CR" w:eastAsia="zh-CN" w:bidi="hi-IN"/>
              </w:rPr>
              <w:lastRenderedPageBreak/>
              <w:t>regional</w:t>
            </w:r>
          </w:p>
        </w:tc>
      </w:tr>
    </w:tbl>
    <w:p w14:paraId="0BE6CE85" w14:textId="1D10363A" w:rsidR="000C003C" w:rsidRDefault="00F64346" w:rsidP="00F64346">
      <w:pPr>
        <w:widowControl/>
        <w:suppressAutoHyphens w:val="0"/>
        <w:autoSpaceDE w:val="0"/>
        <w:autoSpaceDN w:val="0"/>
        <w:jc w:val="both"/>
      </w:pPr>
      <w:r>
        <w:lastRenderedPageBreak/>
        <w:tab/>
      </w:r>
    </w:p>
    <w:p w14:paraId="38DD21B1" w14:textId="371E02F0" w:rsidR="005B2A04" w:rsidRDefault="005B2A04" w:rsidP="000B79D2">
      <w:pPr>
        <w:jc w:val="both"/>
        <w:rPr>
          <w:b/>
        </w:rPr>
      </w:pPr>
      <w:r w:rsidRPr="00670F9D">
        <w:rPr>
          <w:b/>
        </w:rPr>
        <w:t xml:space="preserve">De conformidad con la circular N° 67-09 emitida por la Secretaría de la Corte el 22 de junio de 2009, se le comunica que en virtud del principio de gratuidad que rige esta materia, la publicación está exenta de todo pago de derechos. </w:t>
      </w:r>
    </w:p>
    <w:p w14:paraId="1563790C" w14:textId="77777777" w:rsidR="00670F9D" w:rsidRPr="00670F9D" w:rsidRDefault="00670F9D" w:rsidP="000B79D2">
      <w:pPr>
        <w:jc w:val="both"/>
        <w:rPr>
          <w:b/>
        </w:rPr>
      </w:pPr>
    </w:p>
    <w:p w14:paraId="1FA8A795" w14:textId="77777777" w:rsidR="004A3F0D" w:rsidRDefault="004A3F0D" w:rsidP="000B79D2">
      <w:pPr>
        <w:jc w:val="both"/>
        <w:rPr>
          <w:b/>
        </w:rPr>
      </w:pPr>
    </w:p>
    <w:p w14:paraId="16624D8F" w14:textId="68B5C08C" w:rsidR="005B2A04" w:rsidRPr="00670F9D" w:rsidRDefault="005B2A04" w:rsidP="000B79D2">
      <w:pPr>
        <w:jc w:val="both"/>
        <w:rPr>
          <w:b/>
          <w:lang w:val="es-ES" w:eastAsia="zh-CN"/>
        </w:rPr>
      </w:pPr>
      <w:r w:rsidRPr="00670F9D">
        <w:rPr>
          <w:b/>
        </w:rPr>
        <w:t>Publíquese una sola vez en el Boletín Judicial.</w:t>
      </w:r>
    </w:p>
    <w:p w14:paraId="3781A8EE" w14:textId="77777777" w:rsidR="008A322E" w:rsidRPr="00670F9D" w:rsidRDefault="008A322E" w:rsidP="000B79D2">
      <w:pPr>
        <w:widowControl/>
        <w:suppressAutoHyphens w:val="0"/>
        <w:autoSpaceDE w:val="0"/>
        <w:autoSpaceDN w:val="0"/>
        <w:adjustRightInd w:val="0"/>
        <w:jc w:val="both"/>
        <w:rPr>
          <w:b/>
          <w:bCs/>
        </w:rPr>
      </w:pPr>
    </w:p>
    <w:p w14:paraId="34C79F23" w14:textId="77777777" w:rsidR="004A3F0D" w:rsidRDefault="004A3F0D" w:rsidP="000B79D2">
      <w:pPr>
        <w:widowControl/>
        <w:suppressAutoHyphens w:val="0"/>
        <w:autoSpaceDE w:val="0"/>
        <w:autoSpaceDN w:val="0"/>
        <w:adjustRightInd w:val="0"/>
        <w:jc w:val="both"/>
        <w:rPr>
          <w:b/>
          <w:bCs/>
        </w:rPr>
      </w:pPr>
    </w:p>
    <w:p w14:paraId="207938E2" w14:textId="118BF66F" w:rsidR="00635892" w:rsidRDefault="00635892" w:rsidP="000B79D2">
      <w:pPr>
        <w:widowControl/>
        <w:suppressAutoHyphens w:val="0"/>
        <w:autoSpaceDE w:val="0"/>
        <w:autoSpaceDN w:val="0"/>
        <w:adjustRightInd w:val="0"/>
        <w:jc w:val="both"/>
        <w:rPr>
          <w:b/>
          <w:bCs/>
        </w:rPr>
      </w:pPr>
      <w:r w:rsidRPr="00670F9D">
        <w:rPr>
          <w:b/>
          <w:bCs/>
        </w:rPr>
        <w:t xml:space="preserve">San José, </w:t>
      </w:r>
      <w:r w:rsidR="003223C9">
        <w:rPr>
          <w:b/>
          <w:bCs/>
        </w:rPr>
        <w:t>5</w:t>
      </w:r>
      <w:r w:rsidR="00C02A61" w:rsidRPr="00670F9D">
        <w:rPr>
          <w:b/>
          <w:bCs/>
        </w:rPr>
        <w:t xml:space="preserve"> </w:t>
      </w:r>
      <w:r w:rsidR="0041021D" w:rsidRPr="00670F9D">
        <w:rPr>
          <w:b/>
          <w:bCs/>
        </w:rPr>
        <w:t xml:space="preserve">de </w:t>
      </w:r>
      <w:r w:rsidR="003223C9">
        <w:rPr>
          <w:b/>
          <w:bCs/>
        </w:rPr>
        <w:t>octubre</w:t>
      </w:r>
      <w:r w:rsidR="00410C31">
        <w:rPr>
          <w:b/>
          <w:bCs/>
        </w:rPr>
        <w:t xml:space="preserve"> </w:t>
      </w:r>
      <w:r w:rsidRPr="00670F9D">
        <w:rPr>
          <w:b/>
          <w:bCs/>
        </w:rPr>
        <w:t>de 20</w:t>
      </w:r>
      <w:r w:rsidR="00F11405" w:rsidRPr="00670F9D">
        <w:rPr>
          <w:b/>
          <w:bCs/>
        </w:rPr>
        <w:t>2</w:t>
      </w:r>
      <w:r w:rsidR="00816EC1" w:rsidRPr="00670F9D">
        <w:rPr>
          <w:b/>
          <w:bCs/>
        </w:rPr>
        <w:t>2</w:t>
      </w:r>
      <w:r w:rsidRPr="00670F9D">
        <w:rPr>
          <w:b/>
          <w:bCs/>
        </w:rPr>
        <w:t>.</w:t>
      </w:r>
    </w:p>
    <w:p w14:paraId="0E085A71" w14:textId="718247C9" w:rsidR="004A3F0D" w:rsidRDefault="004A3F0D" w:rsidP="000B79D2">
      <w:pPr>
        <w:widowControl/>
        <w:suppressAutoHyphens w:val="0"/>
        <w:autoSpaceDE w:val="0"/>
        <w:autoSpaceDN w:val="0"/>
        <w:adjustRightInd w:val="0"/>
        <w:jc w:val="both"/>
        <w:rPr>
          <w:b/>
          <w:bCs/>
        </w:rPr>
      </w:pPr>
    </w:p>
    <w:p w14:paraId="2E08E6B4" w14:textId="77777777" w:rsidR="004A3F0D" w:rsidRPr="00670F9D" w:rsidRDefault="004A3F0D" w:rsidP="000B79D2">
      <w:pPr>
        <w:widowControl/>
        <w:suppressAutoHyphens w:val="0"/>
        <w:autoSpaceDE w:val="0"/>
        <w:autoSpaceDN w:val="0"/>
        <w:adjustRightInd w:val="0"/>
        <w:jc w:val="both"/>
        <w:rPr>
          <w:rFonts w:eastAsia="Times New Roman"/>
          <w:kern w:val="0"/>
          <w:lang w:eastAsia="es-ES"/>
        </w:rPr>
      </w:pPr>
    </w:p>
    <w:p w14:paraId="2DECD857" w14:textId="14AC4F3E" w:rsidR="004B3975" w:rsidRPr="00670F9D" w:rsidRDefault="004B3975" w:rsidP="000B79D2">
      <w:pPr>
        <w:spacing w:before="100" w:beforeAutospacing="1" w:after="100" w:afterAutospacing="1"/>
        <w:ind w:firstLine="567"/>
        <w:jc w:val="both"/>
        <w:rPr>
          <w:b/>
          <w:bCs/>
          <w:lang w:val="es-ES"/>
        </w:rPr>
      </w:pPr>
    </w:p>
    <w:p w14:paraId="723442CA" w14:textId="77777777" w:rsidR="00635892" w:rsidRPr="00670F9D" w:rsidRDefault="00635892" w:rsidP="000B79D2">
      <w:pPr>
        <w:ind w:firstLine="567"/>
        <w:jc w:val="both"/>
        <w:rPr>
          <w:b/>
          <w:bCs/>
          <w:lang w:val="pt-BR"/>
        </w:rPr>
      </w:pPr>
      <w:r w:rsidRPr="00670F9D">
        <w:rPr>
          <w:b/>
          <w:bCs/>
          <w:lang w:val="pt-BR"/>
        </w:rPr>
        <w:t xml:space="preserve">Lic. </w:t>
      </w:r>
      <w:r w:rsidR="008D5F5B" w:rsidRPr="00670F9D">
        <w:rPr>
          <w:b/>
          <w:bCs/>
          <w:lang w:val="pt-BR"/>
        </w:rPr>
        <w:t>Carlos T. Mora Rodríguez</w:t>
      </w:r>
    </w:p>
    <w:p w14:paraId="59F340A2" w14:textId="77777777" w:rsidR="00635892" w:rsidRPr="00670F9D" w:rsidRDefault="00635892" w:rsidP="000B79D2">
      <w:pPr>
        <w:ind w:firstLine="567"/>
        <w:jc w:val="both"/>
        <w:rPr>
          <w:b/>
          <w:bCs/>
          <w:lang w:val="pt-BR"/>
        </w:rPr>
      </w:pPr>
      <w:r w:rsidRPr="00670F9D">
        <w:rPr>
          <w:b/>
          <w:bCs/>
          <w:lang w:val="pt-BR"/>
        </w:rPr>
        <w:t>S</w:t>
      </w:r>
      <w:r w:rsidR="008D5F5B" w:rsidRPr="00670F9D">
        <w:rPr>
          <w:b/>
          <w:bCs/>
          <w:lang w:val="pt-BR"/>
        </w:rPr>
        <w:t>ubs</w:t>
      </w:r>
      <w:r w:rsidRPr="00670F9D">
        <w:rPr>
          <w:b/>
          <w:bCs/>
          <w:lang w:val="pt-BR"/>
        </w:rPr>
        <w:t>ecretari</w:t>
      </w:r>
      <w:r w:rsidR="008D5F5B" w:rsidRPr="00670F9D">
        <w:rPr>
          <w:b/>
          <w:bCs/>
          <w:lang w:val="pt-BR"/>
        </w:rPr>
        <w:t>o</w:t>
      </w:r>
      <w:r w:rsidRPr="00670F9D">
        <w:rPr>
          <w:b/>
          <w:bCs/>
          <w:lang w:val="pt-BR"/>
        </w:rPr>
        <w:t xml:space="preserve"> General</w:t>
      </w:r>
      <w:r w:rsidR="008D5F5B" w:rsidRPr="00670F9D">
        <w:rPr>
          <w:b/>
          <w:bCs/>
          <w:lang w:val="pt-BR"/>
        </w:rPr>
        <w:t xml:space="preserve"> interino</w:t>
      </w:r>
    </w:p>
    <w:p w14:paraId="64036D6D" w14:textId="17278C83" w:rsidR="00635892" w:rsidRPr="00670F9D" w:rsidRDefault="00635892" w:rsidP="000B79D2">
      <w:pPr>
        <w:ind w:firstLine="567"/>
        <w:jc w:val="both"/>
        <w:rPr>
          <w:b/>
          <w:bCs/>
          <w:lang w:val="pt-BR"/>
        </w:rPr>
      </w:pPr>
      <w:r w:rsidRPr="00670F9D">
        <w:rPr>
          <w:b/>
          <w:bCs/>
          <w:lang w:val="pt-BR"/>
        </w:rPr>
        <w:t>Corte Suprema de Justicia</w:t>
      </w:r>
    </w:p>
    <w:p w14:paraId="63464392" w14:textId="77777777" w:rsidR="0041021D" w:rsidRPr="00670F9D" w:rsidRDefault="0041021D" w:rsidP="000B79D2">
      <w:pPr>
        <w:ind w:firstLine="567"/>
        <w:jc w:val="both"/>
        <w:rPr>
          <w:b/>
          <w:bCs/>
          <w:lang w:val="pt-BR"/>
        </w:rPr>
      </w:pPr>
    </w:p>
    <w:p w14:paraId="7289E1FC" w14:textId="77777777" w:rsidR="00635892" w:rsidRPr="00670F9D" w:rsidRDefault="00635892" w:rsidP="000B79D2">
      <w:pPr>
        <w:ind w:left="142" w:right="141"/>
        <w:jc w:val="both"/>
        <w:rPr>
          <w:b/>
          <w:bCs/>
          <w:lang w:val="pt-BR"/>
        </w:rPr>
      </w:pPr>
    </w:p>
    <w:p w14:paraId="1C58A99B" w14:textId="54455CD9" w:rsidR="009C29C0" w:rsidRPr="00670F9D" w:rsidRDefault="00635892" w:rsidP="000B79D2">
      <w:pPr>
        <w:pStyle w:val="NormalWeb"/>
        <w:spacing w:before="0" w:after="0"/>
        <w:ind w:left="142" w:right="141"/>
        <w:jc w:val="both"/>
        <w:rPr>
          <w:i/>
          <w:lang w:val="pt-BR"/>
        </w:rPr>
      </w:pPr>
      <w:r w:rsidRPr="00670F9D">
        <w:rPr>
          <w:i/>
          <w:lang w:val="pt-BR"/>
        </w:rPr>
        <w:t>Ref.:</w:t>
      </w:r>
      <w:r w:rsidR="00E90C33">
        <w:rPr>
          <w:i/>
          <w:lang w:val="pt-BR"/>
        </w:rPr>
        <w:t xml:space="preserve"> </w:t>
      </w:r>
      <w:r w:rsidR="003223C9">
        <w:rPr>
          <w:i/>
        </w:rPr>
        <w:t>4420</w:t>
      </w:r>
      <w:r w:rsidR="00E90C33" w:rsidRPr="00E90C33">
        <w:rPr>
          <w:i/>
        </w:rPr>
        <w:t>-20</w:t>
      </w:r>
      <w:r w:rsidR="003223C9">
        <w:rPr>
          <w:i/>
        </w:rPr>
        <w:t>17</w:t>
      </w:r>
      <w:r w:rsidR="00E90C33" w:rsidRPr="00E90C33">
        <w:rPr>
          <w:i/>
        </w:rPr>
        <w:t xml:space="preserve"> / </w:t>
      </w:r>
      <w:r w:rsidR="003223C9">
        <w:rPr>
          <w:i/>
        </w:rPr>
        <w:t>10343</w:t>
      </w:r>
      <w:r w:rsidR="00E90C33" w:rsidRPr="00E90C33">
        <w:rPr>
          <w:i/>
        </w:rPr>
        <w:t>-2022</w:t>
      </w:r>
    </w:p>
    <w:p w14:paraId="513F9D57" w14:textId="7EE85340" w:rsidR="0041021D" w:rsidRPr="00670F9D" w:rsidRDefault="003223C9" w:rsidP="000B79D2">
      <w:pPr>
        <w:pStyle w:val="NormalWeb"/>
        <w:spacing w:before="0" w:after="0"/>
        <w:ind w:left="142" w:right="141"/>
        <w:jc w:val="both"/>
        <w:rPr>
          <w:b/>
          <w:bCs/>
          <w:i/>
          <w:lang w:val="pt-BR"/>
        </w:rPr>
      </w:pPr>
      <w:r>
        <w:rPr>
          <w:i/>
          <w:lang w:val="pt-BR"/>
        </w:rPr>
        <w:t>cpessoa</w:t>
      </w:r>
      <w:r w:rsidR="004A3F0D">
        <w:rPr>
          <w:i/>
          <w:lang w:val="pt-BR"/>
        </w:rPr>
        <w:t xml:space="preserve"> </w:t>
      </w:r>
    </w:p>
    <w:sectPr w:rsidR="0041021D" w:rsidRPr="00670F9D" w:rsidSect="009C2B4E">
      <w:headerReference w:type="default" r:id="rId9"/>
      <w:footnotePr>
        <w:pos w:val="beneathText"/>
      </w:footnotePr>
      <w:pgSz w:w="12240" w:h="15840"/>
      <w:pgMar w:top="1985"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C17F" w14:textId="77777777" w:rsidR="00861E49" w:rsidRDefault="00861E49">
      <w:r>
        <w:separator/>
      </w:r>
    </w:p>
  </w:endnote>
  <w:endnote w:type="continuationSeparator" w:id="0">
    <w:p w14:paraId="27D14E48" w14:textId="77777777" w:rsidR="00861E49" w:rsidRDefault="0086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EA7D" w14:textId="77777777" w:rsidR="00861E49" w:rsidRDefault="00861E49">
      <w:r>
        <w:separator/>
      </w:r>
    </w:p>
  </w:footnote>
  <w:footnote w:type="continuationSeparator" w:id="0">
    <w:p w14:paraId="24DB322B" w14:textId="77777777" w:rsidR="00861E49" w:rsidRDefault="0086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7933" w14:textId="51FFC1B0" w:rsidR="00D44CFE" w:rsidRDefault="00F11405">
    <w:pPr>
      <w:pStyle w:val="Encabezado"/>
      <w:tabs>
        <w:tab w:val="clear" w:pos="4986"/>
        <w:tab w:val="clear" w:pos="9972"/>
        <w:tab w:val="left" w:pos="709"/>
        <w:tab w:val="center" w:pos="4419"/>
        <w:tab w:val="right" w:pos="8838"/>
      </w:tabs>
    </w:pPr>
    <w:r>
      <w:rPr>
        <w:noProof/>
        <w:lang w:val="es-CR"/>
      </w:rPr>
      <mc:AlternateContent>
        <mc:Choice Requires="wps">
          <w:drawing>
            <wp:anchor distT="0" distB="0" distL="114935" distR="114935" simplePos="0" relativeHeight="251657728" behindDoc="1" locked="0" layoutInCell="1" allowOverlap="1" wp14:anchorId="4E673FE9" wp14:editId="3F08DC7F">
              <wp:simplePos x="0" y="0"/>
              <wp:positionH relativeFrom="column">
                <wp:posOffset>0</wp:posOffset>
              </wp:positionH>
              <wp:positionV relativeFrom="paragraph">
                <wp:posOffset>-6985</wp:posOffset>
              </wp:positionV>
              <wp:extent cx="662940" cy="7454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BAFB9" w14:textId="3ADA60CB" w:rsidR="00D44CFE" w:rsidRDefault="00F11405">
                          <w:r>
                            <w:rPr>
                              <w:noProof/>
                              <w:lang w:val="es-CR"/>
                            </w:rPr>
                            <w:drawing>
                              <wp:inline distT="0" distB="0" distL="0" distR="0" wp14:anchorId="07639241" wp14:editId="6B411548">
                                <wp:extent cx="676275" cy="7620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3FE9" id="_x0000_t202" coordsize="21600,21600" o:spt="202" path="m,l,21600r21600,l21600,xe">
              <v:stroke joinstyle="miter"/>
              <v:path gradientshapeok="t" o:connecttype="rect"/>
            </v:shapetype>
            <v:shape id="Text Box 1" o:spid="_x0000_s1026" type="#_x0000_t202" style="position:absolute;margin-left:0;margin-top:-.55pt;width:52.2pt;height:58.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" stroked="f">
              <v:textbox inset="0,0,0,0">
                <w:txbxContent>
                  <w:p w14:paraId="6A0BAFB9" w14:textId="3ADA60CB" w:rsidR="00D44CFE" w:rsidRDefault="00F11405">
                    <w:r>
                      <w:rPr>
                        <w:noProof/>
                        <w:lang w:val="es-CR"/>
                      </w:rPr>
                      <w:drawing>
                        <wp:inline distT="0" distB="0" distL="0" distR="0" wp14:anchorId="07639241" wp14:editId="6B411548">
                          <wp:extent cx="676275" cy="7620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v:textbox>
            </v:shape>
          </w:pict>
        </mc:Fallback>
      </mc:AlternateContent>
    </w:r>
  </w:p>
  <w:p w14:paraId="30E28FB1" w14:textId="77777777"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14:paraId="7EAF54EF" w14:textId="77777777"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049F"/>
    <w:multiLevelType w:val="hybridMultilevel"/>
    <w:tmpl w:val="CC683F6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7547908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0622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360338">
    <w:abstractNumId w:val="2"/>
  </w:num>
  <w:num w:numId="4" w16cid:durableId="105168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D3D"/>
    <w:rsid w:val="000163B0"/>
    <w:rsid w:val="0003316C"/>
    <w:rsid w:val="000405C8"/>
    <w:rsid w:val="00045081"/>
    <w:rsid w:val="00047F88"/>
    <w:rsid w:val="00064E7C"/>
    <w:rsid w:val="000702C6"/>
    <w:rsid w:val="0007249A"/>
    <w:rsid w:val="00090BD7"/>
    <w:rsid w:val="000913E8"/>
    <w:rsid w:val="0009588A"/>
    <w:rsid w:val="000A240D"/>
    <w:rsid w:val="000A44DC"/>
    <w:rsid w:val="000B174C"/>
    <w:rsid w:val="000B628E"/>
    <w:rsid w:val="000B79D2"/>
    <w:rsid w:val="000C003C"/>
    <w:rsid w:val="000C1E97"/>
    <w:rsid w:val="000C4BB9"/>
    <w:rsid w:val="000C7EEA"/>
    <w:rsid w:val="000D3CD0"/>
    <w:rsid w:val="000E11E3"/>
    <w:rsid w:val="000E70A7"/>
    <w:rsid w:val="000F1BD9"/>
    <w:rsid w:val="000F55FD"/>
    <w:rsid w:val="001071BE"/>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E76F2"/>
    <w:rsid w:val="001F14C4"/>
    <w:rsid w:val="001F1B22"/>
    <w:rsid w:val="001F3361"/>
    <w:rsid w:val="00204912"/>
    <w:rsid w:val="002059E3"/>
    <w:rsid w:val="002131FA"/>
    <w:rsid w:val="00214880"/>
    <w:rsid w:val="002221DE"/>
    <w:rsid w:val="00224481"/>
    <w:rsid w:val="002359A4"/>
    <w:rsid w:val="002367C2"/>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3768"/>
    <w:rsid w:val="002B4CE4"/>
    <w:rsid w:val="002C23C5"/>
    <w:rsid w:val="002C4203"/>
    <w:rsid w:val="002C7C70"/>
    <w:rsid w:val="002E2530"/>
    <w:rsid w:val="002F288C"/>
    <w:rsid w:val="002F63B8"/>
    <w:rsid w:val="002F7A6A"/>
    <w:rsid w:val="00301ADF"/>
    <w:rsid w:val="00302877"/>
    <w:rsid w:val="00307884"/>
    <w:rsid w:val="003079AF"/>
    <w:rsid w:val="00311386"/>
    <w:rsid w:val="00315EC7"/>
    <w:rsid w:val="0032088B"/>
    <w:rsid w:val="003223C9"/>
    <w:rsid w:val="00322B4B"/>
    <w:rsid w:val="00334B72"/>
    <w:rsid w:val="00341C02"/>
    <w:rsid w:val="0034244E"/>
    <w:rsid w:val="00343803"/>
    <w:rsid w:val="0034790C"/>
    <w:rsid w:val="00351D59"/>
    <w:rsid w:val="003559C4"/>
    <w:rsid w:val="003644B6"/>
    <w:rsid w:val="003678B3"/>
    <w:rsid w:val="00372F0E"/>
    <w:rsid w:val="0037610C"/>
    <w:rsid w:val="003769AA"/>
    <w:rsid w:val="003817E2"/>
    <w:rsid w:val="00392B19"/>
    <w:rsid w:val="003964FD"/>
    <w:rsid w:val="003A1DC8"/>
    <w:rsid w:val="003A299B"/>
    <w:rsid w:val="003A4EA7"/>
    <w:rsid w:val="003B60FC"/>
    <w:rsid w:val="003C11EF"/>
    <w:rsid w:val="003C6AC0"/>
    <w:rsid w:val="003C7AD1"/>
    <w:rsid w:val="003D1FC1"/>
    <w:rsid w:val="003E7067"/>
    <w:rsid w:val="003F0B86"/>
    <w:rsid w:val="003F24BA"/>
    <w:rsid w:val="003F725D"/>
    <w:rsid w:val="004000A6"/>
    <w:rsid w:val="00406BD2"/>
    <w:rsid w:val="0041021D"/>
    <w:rsid w:val="00410C31"/>
    <w:rsid w:val="00410E73"/>
    <w:rsid w:val="00411622"/>
    <w:rsid w:val="004157BB"/>
    <w:rsid w:val="0041588F"/>
    <w:rsid w:val="00416D48"/>
    <w:rsid w:val="00417FCE"/>
    <w:rsid w:val="00422531"/>
    <w:rsid w:val="00427CBC"/>
    <w:rsid w:val="004354E5"/>
    <w:rsid w:val="00440FC5"/>
    <w:rsid w:val="00442EA8"/>
    <w:rsid w:val="00446CE8"/>
    <w:rsid w:val="004521C3"/>
    <w:rsid w:val="00454E25"/>
    <w:rsid w:val="004605BC"/>
    <w:rsid w:val="0046689F"/>
    <w:rsid w:val="00475AD4"/>
    <w:rsid w:val="004808D5"/>
    <w:rsid w:val="00484772"/>
    <w:rsid w:val="00487330"/>
    <w:rsid w:val="00490AAE"/>
    <w:rsid w:val="00493DA0"/>
    <w:rsid w:val="00497DB8"/>
    <w:rsid w:val="004A3F0D"/>
    <w:rsid w:val="004A512C"/>
    <w:rsid w:val="004B2A9B"/>
    <w:rsid w:val="004B3975"/>
    <w:rsid w:val="004B6DC3"/>
    <w:rsid w:val="004C3481"/>
    <w:rsid w:val="004C416D"/>
    <w:rsid w:val="004D2E3D"/>
    <w:rsid w:val="004E73A7"/>
    <w:rsid w:val="004F00CB"/>
    <w:rsid w:val="004F31AA"/>
    <w:rsid w:val="00500CE7"/>
    <w:rsid w:val="005034C4"/>
    <w:rsid w:val="0051662F"/>
    <w:rsid w:val="00517047"/>
    <w:rsid w:val="00523C17"/>
    <w:rsid w:val="0052701A"/>
    <w:rsid w:val="00531E2A"/>
    <w:rsid w:val="00537936"/>
    <w:rsid w:val="00543B67"/>
    <w:rsid w:val="00545EB9"/>
    <w:rsid w:val="00566F6F"/>
    <w:rsid w:val="005703F6"/>
    <w:rsid w:val="005722ED"/>
    <w:rsid w:val="00575E27"/>
    <w:rsid w:val="00577ED0"/>
    <w:rsid w:val="00597F89"/>
    <w:rsid w:val="005B2A04"/>
    <w:rsid w:val="005C1252"/>
    <w:rsid w:val="005C21C7"/>
    <w:rsid w:val="005C48B3"/>
    <w:rsid w:val="005D18BA"/>
    <w:rsid w:val="005E4728"/>
    <w:rsid w:val="005F2EC1"/>
    <w:rsid w:val="006029C0"/>
    <w:rsid w:val="00606B75"/>
    <w:rsid w:val="00615084"/>
    <w:rsid w:val="00630712"/>
    <w:rsid w:val="00635892"/>
    <w:rsid w:val="00635A1D"/>
    <w:rsid w:val="006411F3"/>
    <w:rsid w:val="006424E9"/>
    <w:rsid w:val="0064477F"/>
    <w:rsid w:val="0065178F"/>
    <w:rsid w:val="00654AAF"/>
    <w:rsid w:val="006576FF"/>
    <w:rsid w:val="00661104"/>
    <w:rsid w:val="0066360A"/>
    <w:rsid w:val="00664025"/>
    <w:rsid w:val="00670F9D"/>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6138"/>
    <w:rsid w:val="00707F47"/>
    <w:rsid w:val="00713E76"/>
    <w:rsid w:val="0073154F"/>
    <w:rsid w:val="00737B25"/>
    <w:rsid w:val="007410CF"/>
    <w:rsid w:val="00755E40"/>
    <w:rsid w:val="00770362"/>
    <w:rsid w:val="00770F38"/>
    <w:rsid w:val="0079188F"/>
    <w:rsid w:val="007926AA"/>
    <w:rsid w:val="00796182"/>
    <w:rsid w:val="00796D94"/>
    <w:rsid w:val="007A32F0"/>
    <w:rsid w:val="007A5005"/>
    <w:rsid w:val="007B0465"/>
    <w:rsid w:val="007C0446"/>
    <w:rsid w:val="007C13A5"/>
    <w:rsid w:val="007C170A"/>
    <w:rsid w:val="007C34A7"/>
    <w:rsid w:val="007E7A1B"/>
    <w:rsid w:val="007F3661"/>
    <w:rsid w:val="007F3A1D"/>
    <w:rsid w:val="007F79C4"/>
    <w:rsid w:val="00800C0A"/>
    <w:rsid w:val="00801122"/>
    <w:rsid w:val="008043AE"/>
    <w:rsid w:val="008055DA"/>
    <w:rsid w:val="008112CA"/>
    <w:rsid w:val="00816EC1"/>
    <w:rsid w:val="00817BB3"/>
    <w:rsid w:val="00822F53"/>
    <w:rsid w:val="008236FE"/>
    <w:rsid w:val="00830831"/>
    <w:rsid w:val="0083109E"/>
    <w:rsid w:val="008314B3"/>
    <w:rsid w:val="00831EF9"/>
    <w:rsid w:val="008328D2"/>
    <w:rsid w:val="00850BDA"/>
    <w:rsid w:val="0085577A"/>
    <w:rsid w:val="008606F3"/>
    <w:rsid w:val="00861E49"/>
    <w:rsid w:val="008641DA"/>
    <w:rsid w:val="0086607B"/>
    <w:rsid w:val="0087675D"/>
    <w:rsid w:val="00881E6E"/>
    <w:rsid w:val="00884220"/>
    <w:rsid w:val="008932BA"/>
    <w:rsid w:val="00895FE6"/>
    <w:rsid w:val="008A040C"/>
    <w:rsid w:val="008A322E"/>
    <w:rsid w:val="008A5E64"/>
    <w:rsid w:val="008A7FD2"/>
    <w:rsid w:val="008B114C"/>
    <w:rsid w:val="008B4517"/>
    <w:rsid w:val="008C0A78"/>
    <w:rsid w:val="008C0CBA"/>
    <w:rsid w:val="008C18FE"/>
    <w:rsid w:val="008C1985"/>
    <w:rsid w:val="008C3F59"/>
    <w:rsid w:val="008C7D91"/>
    <w:rsid w:val="008D3421"/>
    <w:rsid w:val="008D5F5B"/>
    <w:rsid w:val="008D71C8"/>
    <w:rsid w:val="008E26BC"/>
    <w:rsid w:val="008E27B4"/>
    <w:rsid w:val="008E6E46"/>
    <w:rsid w:val="009009F1"/>
    <w:rsid w:val="00902078"/>
    <w:rsid w:val="009023B3"/>
    <w:rsid w:val="00903D06"/>
    <w:rsid w:val="00906619"/>
    <w:rsid w:val="009302F1"/>
    <w:rsid w:val="009366A3"/>
    <w:rsid w:val="0094130E"/>
    <w:rsid w:val="0094541C"/>
    <w:rsid w:val="00945F8B"/>
    <w:rsid w:val="009473F8"/>
    <w:rsid w:val="00950A29"/>
    <w:rsid w:val="00951B80"/>
    <w:rsid w:val="00954017"/>
    <w:rsid w:val="0095524D"/>
    <w:rsid w:val="00956815"/>
    <w:rsid w:val="00971DA1"/>
    <w:rsid w:val="00973CD9"/>
    <w:rsid w:val="00986931"/>
    <w:rsid w:val="00996707"/>
    <w:rsid w:val="009A2732"/>
    <w:rsid w:val="009A7D03"/>
    <w:rsid w:val="009B2055"/>
    <w:rsid w:val="009B341D"/>
    <w:rsid w:val="009C29C0"/>
    <w:rsid w:val="009C2A42"/>
    <w:rsid w:val="009C2B4E"/>
    <w:rsid w:val="009C6D64"/>
    <w:rsid w:val="009E017C"/>
    <w:rsid w:val="009E413D"/>
    <w:rsid w:val="009F1689"/>
    <w:rsid w:val="009F1A66"/>
    <w:rsid w:val="009F1F6B"/>
    <w:rsid w:val="00A02C38"/>
    <w:rsid w:val="00A046C7"/>
    <w:rsid w:val="00A0685D"/>
    <w:rsid w:val="00A13370"/>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24E"/>
    <w:rsid w:val="00AB66FF"/>
    <w:rsid w:val="00AC57E2"/>
    <w:rsid w:val="00AD1340"/>
    <w:rsid w:val="00AD17FF"/>
    <w:rsid w:val="00AD54B7"/>
    <w:rsid w:val="00AE0411"/>
    <w:rsid w:val="00AE5B4A"/>
    <w:rsid w:val="00AE6A38"/>
    <w:rsid w:val="00AF1148"/>
    <w:rsid w:val="00AF3C2E"/>
    <w:rsid w:val="00B0260F"/>
    <w:rsid w:val="00B11047"/>
    <w:rsid w:val="00B1647F"/>
    <w:rsid w:val="00B24B22"/>
    <w:rsid w:val="00B323B3"/>
    <w:rsid w:val="00B33076"/>
    <w:rsid w:val="00B56F9E"/>
    <w:rsid w:val="00B61A0B"/>
    <w:rsid w:val="00B760FB"/>
    <w:rsid w:val="00B77009"/>
    <w:rsid w:val="00B804DF"/>
    <w:rsid w:val="00B86100"/>
    <w:rsid w:val="00B924F9"/>
    <w:rsid w:val="00B92DE4"/>
    <w:rsid w:val="00B9482C"/>
    <w:rsid w:val="00B96AE2"/>
    <w:rsid w:val="00BA7FAF"/>
    <w:rsid w:val="00BB045C"/>
    <w:rsid w:val="00BB5888"/>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2A61"/>
    <w:rsid w:val="00C072BF"/>
    <w:rsid w:val="00C10890"/>
    <w:rsid w:val="00C10914"/>
    <w:rsid w:val="00C11CF4"/>
    <w:rsid w:val="00C154AE"/>
    <w:rsid w:val="00C30FCB"/>
    <w:rsid w:val="00C33748"/>
    <w:rsid w:val="00C34914"/>
    <w:rsid w:val="00C43097"/>
    <w:rsid w:val="00C4674C"/>
    <w:rsid w:val="00C51A93"/>
    <w:rsid w:val="00C56B61"/>
    <w:rsid w:val="00C61DD9"/>
    <w:rsid w:val="00C62509"/>
    <w:rsid w:val="00C6690D"/>
    <w:rsid w:val="00C66C8B"/>
    <w:rsid w:val="00C706F4"/>
    <w:rsid w:val="00C72375"/>
    <w:rsid w:val="00C72EEF"/>
    <w:rsid w:val="00C76769"/>
    <w:rsid w:val="00C82F5E"/>
    <w:rsid w:val="00C87428"/>
    <w:rsid w:val="00C95ED3"/>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B1D68"/>
    <w:rsid w:val="00DD2501"/>
    <w:rsid w:val="00DE20C0"/>
    <w:rsid w:val="00DF2C8F"/>
    <w:rsid w:val="00E0020F"/>
    <w:rsid w:val="00E05E44"/>
    <w:rsid w:val="00E17BED"/>
    <w:rsid w:val="00E24586"/>
    <w:rsid w:val="00E26C37"/>
    <w:rsid w:val="00E405F2"/>
    <w:rsid w:val="00E51021"/>
    <w:rsid w:val="00E57928"/>
    <w:rsid w:val="00E638DA"/>
    <w:rsid w:val="00E745ED"/>
    <w:rsid w:val="00E76B03"/>
    <w:rsid w:val="00E77BC9"/>
    <w:rsid w:val="00E90BC5"/>
    <w:rsid w:val="00E90C33"/>
    <w:rsid w:val="00EA48CB"/>
    <w:rsid w:val="00EA5E4A"/>
    <w:rsid w:val="00EB699C"/>
    <w:rsid w:val="00EC2982"/>
    <w:rsid w:val="00ED0EB6"/>
    <w:rsid w:val="00ED7692"/>
    <w:rsid w:val="00EE1747"/>
    <w:rsid w:val="00EE4937"/>
    <w:rsid w:val="00EF6272"/>
    <w:rsid w:val="00EF6953"/>
    <w:rsid w:val="00F01A7E"/>
    <w:rsid w:val="00F04EB6"/>
    <w:rsid w:val="00F05A62"/>
    <w:rsid w:val="00F11405"/>
    <w:rsid w:val="00F136A6"/>
    <w:rsid w:val="00F1380F"/>
    <w:rsid w:val="00F14DA6"/>
    <w:rsid w:val="00F24300"/>
    <w:rsid w:val="00F250C3"/>
    <w:rsid w:val="00F25932"/>
    <w:rsid w:val="00F370C6"/>
    <w:rsid w:val="00F42F63"/>
    <w:rsid w:val="00F46E7C"/>
    <w:rsid w:val="00F60D84"/>
    <w:rsid w:val="00F64346"/>
    <w:rsid w:val="00F6713A"/>
    <w:rsid w:val="00F67287"/>
    <w:rsid w:val="00F679AA"/>
    <w:rsid w:val="00F7626C"/>
    <w:rsid w:val="00F769CA"/>
    <w:rsid w:val="00F83E99"/>
    <w:rsid w:val="00F84D4F"/>
    <w:rsid w:val="00F84EB4"/>
    <w:rsid w:val="00F915D9"/>
    <w:rsid w:val="00F95382"/>
    <w:rsid w:val="00F972BA"/>
    <w:rsid w:val="00FA2E40"/>
    <w:rsid w:val="00FC0962"/>
    <w:rsid w:val="00FC1143"/>
    <w:rsid w:val="00FD6425"/>
    <w:rsid w:val="00FF1C3F"/>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79AD"/>
  <w15:chartTrackingRefBased/>
  <w15:docId w15:val="{33EE87C7-5005-4613-9806-BF3D470F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Textosinformato">
    <w:name w:val="Plain Text"/>
    <w:basedOn w:val="Normal"/>
    <w:link w:val="TextosinformatoCar"/>
    <w:uiPriority w:val="99"/>
    <w:unhideWhenUsed/>
    <w:rsid w:val="00F11405"/>
    <w:pPr>
      <w:widowControl/>
      <w:suppressAutoHyphens w:val="0"/>
      <w:spacing w:before="100" w:beforeAutospacing="1" w:after="100" w:afterAutospacing="1"/>
    </w:pPr>
    <w:rPr>
      <w:rFonts w:eastAsia="Times New Roman"/>
      <w:kern w:val="0"/>
      <w:lang w:val="es-CR"/>
    </w:rPr>
  </w:style>
  <w:style w:type="character" w:customStyle="1" w:styleId="TextosinformatoCar">
    <w:name w:val="Texto sin formato Car"/>
    <w:basedOn w:val="Fuentedeprrafopredeter"/>
    <w:link w:val="Textosinformato"/>
    <w:uiPriority w:val="99"/>
    <w:rsid w:val="00F11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6968798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983506976">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07021111">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871339635">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jecutivosbcrpoderjudicial@bancobcr.com.Para" TargetMode="External"/><Relationship Id="rId3" Type="http://schemas.openxmlformats.org/officeDocument/2006/relationships/settings" Target="settings.xml"/><Relationship Id="rId7" Type="http://schemas.openxmlformats.org/officeDocument/2006/relationships/hyperlink" Target="mailto:ejecutivosbcrpoderjudicial@bancobc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4748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 Comunicaciones - Laura Bonilla</cp:lastModifiedBy>
  <cp:revision>2</cp:revision>
  <cp:lastPrinted>2013-02-08T15:17:00Z</cp:lastPrinted>
  <dcterms:created xsi:type="dcterms:W3CDTF">2022-10-17T23:26:00Z</dcterms:created>
  <dcterms:modified xsi:type="dcterms:W3CDTF">2022-10-17T23:26:00Z</dcterms:modified>
</cp:coreProperties>
</file>