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6EB95" w14:textId="756E70A5" w:rsidR="00921F72" w:rsidRPr="00323B40" w:rsidRDefault="00921F72" w:rsidP="009157AD">
      <w:pPr>
        <w:jc w:val="both"/>
        <w:rPr>
          <w:b/>
          <w:bCs/>
          <w:color w:val="000000"/>
          <w:u w:val="single"/>
        </w:rPr>
      </w:pPr>
      <w:r w:rsidRPr="00323B40">
        <w:rPr>
          <w:b/>
          <w:bCs/>
          <w:color w:val="000000"/>
          <w:u w:val="single"/>
        </w:rPr>
        <w:t xml:space="preserve">CIRCULAR No. </w:t>
      </w:r>
      <w:r w:rsidR="00F66C6E" w:rsidRPr="00323B40">
        <w:rPr>
          <w:b/>
          <w:bCs/>
          <w:color w:val="000000"/>
          <w:u w:val="single"/>
        </w:rPr>
        <w:t>180</w:t>
      </w:r>
      <w:r w:rsidRPr="00323B40">
        <w:rPr>
          <w:b/>
          <w:bCs/>
          <w:color w:val="000000"/>
          <w:u w:val="single"/>
        </w:rPr>
        <w:t>-2019</w:t>
      </w:r>
    </w:p>
    <w:p w14:paraId="04E86F00" w14:textId="77777777" w:rsidR="00921F72" w:rsidRPr="00323B40" w:rsidRDefault="00921F72" w:rsidP="009157AD">
      <w:pPr>
        <w:jc w:val="both"/>
        <w:rPr>
          <w:b/>
          <w:bCs/>
          <w:color w:val="000000"/>
          <w:u w:val="single"/>
          <w:lang w:eastAsia="es-CR"/>
        </w:rPr>
      </w:pPr>
      <w:bookmarkStart w:id="0" w:name="_GoBack"/>
      <w:bookmarkEnd w:id="0"/>
    </w:p>
    <w:p w14:paraId="63F70B7E" w14:textId="56B171EB" w:rsidR="00921F72" w:rsidRPr="00323B40" w:rsidRDefault="00921F72" w:rsidP="009157AD">
      <w:pPr>
        <w:jc w:val="both"/>
        <w:rPr>
          <w:bCs/>
        </w:rPr>
      </w:pPr>
      <w:r w:rsidRPr="00323B40">
        <w:rPr>
          <w:b/>
          <w:bCs/>
          <w:u w:val="single"/>
        </w:rPr>
        <w:t>Asunto</w:t>
      </w:r>
      <w:r w:rsidRPr="00323B40">
        <w:rPr>
          <w:bCs/>
        </w:rPr>
        <w:t xml:space="preserve">: </w:t>
      </w:r>
      <w:r w:rsidRPr="00323B40">
        <w:rPr>
          <w:bCs/>
        </w:rPr>
        <w:tab/>
      </w:r>
      <w:r w:rsidR="00F66C6E" w:rsidRPr="00323B40">
        <w:rPr>
          <w:bCs/>
        </w:rPr>
        <w:t xml:space="preserve">Reiteración de la circular N° </w:t>
      </w:r>
      <w:r w:rsidR="007B6C69" w:rsidRPr="00323B40">
        <w:rPr>
          <w:bCs/>
        </w:rPr>
        <w:t xml:space="preserve">48-18 </w:t>
      </w:r>
      <w:r w:rsidR="00F66C6E" w:rsidRPr="00323B40">
        <w:rPr>
          <w:lang w:eastAsia="es-CR"/>
        </w:rPr>
        <w:t xml:space="preserve">sobre </w:t>
      </w:r>
      <w:r w:rsidR="00F66C6E" w:rsidRPr="00323B40">
        <w:rPr>
          <w:i/>
          <w:iCs/>
          <w:lang w:eastAsia="es-CR"/>
        </w:rPr>
        <w:t>“</w:t>
      </w:r>
      <w:r w:rsidR="00A1570D" w:rsidRPr="00323B40">
        <w:rPr>
          <w:color w:val="000000"/>
        </w:rPr>
        <w:t xml:space="preserve">Deber de los usuarios de </w:t>
      </w:r>
      <w:r w:rsidR="007B6C69" w:rsidRPr="00323B40">
        <w:rPr>
          <w:color w:val="000000"/>
        </w:rPr>
        <w:t>rotular los</w:t>
      </w:r>
      <w:r w:rsidR="00A1570D" w:rsidRPr="00323B40">
        <w:rPr>
          <w:color w:val="000000"/>
        </w:rPr>
        <w:t xml:space="preserve"> escritos dirigidos a los despachos indicados y de las Oficinas de Recepción de Documentos de los distintos Circuitos Judiciales del país de utilizar el listado de tipificaciones de escritos.</w:t>
      </w:r>
      <w:r w:rsidR="00F66C6E" w:rsidRPr="00323B40">
        <w:rPr>
          <w:bCs/>
        </w:rPr>
        <w:t>”-</w:t>
      </w:r>
    </w:p>
    <w:p w14:paraId="1780DF55" w14:textId="77777777" w:rsidR="00921F72" w:rsidRPr="00323B40" w:rsidRDefault="00921F72" w:rsidP="009157AD">
      <w:pPr>
        <w:jc w:val="both"/>
        <w:rPr>
          <w:bCs/>
        </w:rPr>
      </w:pPr>
    </w:p>
    <w:p w14:paraId="46046B56" w14:textId="77777777" w:rsidR="00921F72" w:rsidRPr="00323B40" w:rsidRDefault="00921F72" w:rsidP="009157AD">
      <w:pPr>
        <w:jc w:val="both"/>
        <w:rPr>
          <w:b/>
          <w:bCs/>
          <w:u w:val="single"/>
        </w:rPr>
      </w:pPr>
      <w:r w:rsidRPr="00323B40">
        <w:rPr>
          <w:b/>
          <w:bCs/>
          <w:u w:val="single"/>
        </w:rPr>
        <w:t xml:space="preserve">A LOS DESPACHOS JUDICIALES DEL PAÍS </w:t>
      </w:r>
    </w:p>
    <w:p w14:paraId="3296A992" w14:textId="77777777" w:rsidR="00921F72" w:rsidRPr="00323B40" w:rsidRDefault="00921F72" w:rsidP="009157AD">
      <w:pPr>
        <w:jc w:val="both"/>
        <w:rPr>
          <w:b/>
          <w:bCs/>
        </w:rPr>
      </w:pPr>
      <w:r w:rsidRPr="00323B40">
        <w:rPr>
          <w:b/>
          <w:bCs/>
          <w:u w:val="single"/>
        </w:rPr>
        <w:t>SE LES HACE SABER QUE</w:t>
      </w:r>
      <w:r w:rsidRPr="00323B40">
        <w:rPr>
          <w:b/>
          <w:bCs/>
        </w:rPr>
        <w:t>:</w:t>
      </w:r>
    </w:p>
    <w:p w14:paraId="58F40C05" w14:textId="77777777" w:rsidR="00921F72" w:rsidRPr="00323B40" w:rsidRDefault="00921F72" w:rsidP="009157AD">
      <w:pPr>
        <w:pStyle w:val="Textodebloque2"/>
        <w:ind w:left="0" w:right="0" w:firstLine="0"/>
      </w:pPr>
    </w:p>
    <w:p w14:paraId="32359C3D" w14:textId="6E9AF1DC" w:rsidR="00F66C6E" w:rsidRPr="00323B40" w:rsidRDefault="00921F72" w:rsidP="005240B4">
      <w:pPr>
        <w:pStyle w:val="Textodebloque2"/>
        <w:ind w:left="0" w:right="0" w:firstLine="0"/>
        <w:rPr>
          <w:bCs/>
        </w:rPr>
      </w:pPr>
      <w:r w:rsidRPr="00323B40">
        <w:t xml:space="preserve">El Consejo Superior del Poder Judicial en sesión No. </w:t>
      </w:r>
      <w:r w:rsidR="00A1570D" w:rsidRPr="00323B40">
        <w:t>76</w:t>
      </w:r>
      <w:r w:rsidRPr="00323B40">
        <w:t xml:space="preserve">-19 celebrada el </w:t>
      </w:r>
      <w:r w:rsidR="00A1570D" w:rsidRPr="00323B40">
        <w:t>29</w:t>
      </w:r>
      <w:r w:rsidR="009C0BAE" w:rsidRPr="00323B40">
        <w:t xml:space="preserve"> </w:t>
      </w:r>
      <w:r w:rsidRPr="00323B40">
        <w:t xml:space="preserve">de </w:t>
      </w:r>
      <w:r w:rsidR="00A1570D" w:rsidRPr="00323B40">
        <w:t xml:space="preserve">agosto </w:t>
      </w:r>
      <w:r w:rsidRPr="00323B40">
        <w:t xml:space="preserve">de 2019, artículo </w:t>
      </w:r>
      <w:r w:rsidR="00A1570D" w:rsidRPr="00323B40">
        <w:t>l</w:t>
      </w:r>
      <w:r w:rsidR="009C0BAE" w:rsidRPr="00323B40">
        <w:t>XX</w:t>
      </w:r>
      <w:r w:rsidR="00A1570D" w:rsidRPr="00323B40">
        <w:t>VI</w:t>
      </w:r>
      <w:r w:rsidRPr="00323B40">
        <w:t>, dispuso</w:t>
      </w:r>
      <w:r w:rsidR="00F66C6E" w:rsidRPr="00323B40">
        <w:rPr>
          <w:lang w:eastAsia="es-ES"/>
        </w:rPr>
        <w:t xml:space="preserve"> </w:t>
      </w:r>
      <w:r w:rsidR="005240B4" w:rsidRPr="00323B40">
        <w:rPr>
          <w:lang w:eastAsia="es-CR"/>
        </w:rPr>
        <w:t xml:space="preserve">reiterar </w:t>
      </w:r>
      <w:r w:rsidR="00A1570D" w:rsidRPr="00323B40">
        <w:rPr>
          <w:lang w:eastAsia="es-CR"/>
        </w:rPr>
        <w:t xml:space="preserve">la circular N° 48-18, </w:t>
      </w:r>
      <w:r w:rsidR="005240B4" w:rsidRPr="00323B40">
        <w:rPr>
          <w:lang w:eastAsia="es-CR"/>
        </w:rPr>
        <w:t xml:space="preserve">sobre </w:t>
      </w:r>
      <w:r w:rsidR="005240B4" w:rsidRPr="00323B40">
        <w:rPr>
          <w:i/>
          <w:iCs/>
          <w:lang w:eastAsia="es-CR"/>
        </w:rPr>
        <w:t>“</w:t>
      </w:r>
      <w:r w:rsidR="005240B4" w:rsidRPr="00323B40">
        <w:rPr>
          <w:color w:val="000000"/>
        </w:rPr>
        <w:t xml:space="preserve">Deber de los usuarios de </w:t>
      </w:r>
      <w:r w:rsidR="007B6C69" w:rsidRPr="00323B40">
        <w:rPr>
          <w:color w:val="000000"/>
        </w:rPr>
        <w:t>rotular los</w:t>
      </w:r>
      <w:r w:rsidR="005240B4" w:rsidRPr="00323B40">
        <w:rPr>
          <w:color w:val="000000"/>
        </w:rPr>
        <w:t xml:space="preserve"> escritos dirigidos a los despachos indicados y de las Oficinas de Recepción de Documentos de los distintos Circuitos Judiciales del país de utilizar el listado de tipificaciones de escritos.</w:t>
      </w:r>
      <w:r w:rsidR="005240B4" w:rsidRPr="00323B40">
        <w:rPr>
          <w:bCs/>
        </w:rPr>
        <w:t>”</w:t>
      </w:r>
      <w:r w:rsidR="00F66C6E" w:rsidRPr="00323B40">
        <w:rPr>
          <w:lang w:eastAsia="es-CR"/>
        </w:rPr>
        <w:t xml:space="preserve">, que </w:t>
      </w:r>
      <w:r w:rsidR="00F66C6E" w:rsidRPr="00323B40">
        <w:rPr>
          <w:lang w:eastAsia="es-ES"/>
        </w:rPr>
        <w:t>literalmente indica:  </w:t>
      </w:r>
    </w:p>
    <w:p w14:paraId="41AF8929" w14:textId="77777777" w:rsidR="005240B4" w:rsidRPr="00323B40" w:rsidRDefault="005240B4" w:rsidP="00323B40">
      <w:pPr>
        <w:suppressAutoHyphens w:val="0"/>
        <w:jc w:val="both"/>
        <w:rPr>
          <w:color w:val="000000"/>
        </w:rPr>
      </w:pPr>
      <w:r w:rsidRPr="00323B40">
        <w:rPr>
          <w:lang w:eastAsia="es-ES"/>
        </w:rPr>
        <w:t>“</w:t>
      </w:r>
      <w:r w:rsidRPr="00323B40">
        <w:rPr>
          <w:color w:val="000000"/>
        </w:rPr>
        <w:t xml:space="preserve">El Consejo Superior del Poder Judicial en sesión No.29-18 celebrada el 12 de abril de 2018, artículo LXXIII, dispuso que en adelante los usuarios que presenten escritos relacionados con la materia civil, cobratoria y concursal, deberán rotular debidamente los escritos que dirijan a los distintos Juzgados de esa jurisdicción de todo el país, indicando la gestión principal y accesoria que los mismos contienen. </w:t>
      </w:r>
    </w:p>
    <w:p w14:paraId="22597063" w14:textId="25FE26DF" w:rsidR="005240B4" w:rsidRPr="00323B40" w:rsidRDefault="005240B4" w:rsidP="00323B40">
      <w:pPr>
        <w:suppressAutoHyphens w:val="0"/>
        <w:jc w:val="both"/>
        <w:rPr>
          <w:color w:val="000000"/>
        </w:rPr>
      </w:pPr>
      <w:r w:rsidRPr="00323B40">
        <w:rPr>
          <w:color w:val="000000"/>
        </w:rPr>
        <w:t xml:space="preserve">Lo anterior con la finalidad de que las Oficinas de Recepción de Documentos de los distintos Circuitos Judiciales del país, al ingresar el escrito al sistema institucional CEREDOC, identifiquen el tipo de gestión que </w:t>
      </w:r>
      <w:r w:rsidR="007B6C69" w:rsidRPr="00323B40">
        <w:rPr>
          <w:color w:val="000000"/>
        </w:rPr>
        <w:t>corresponda,</w:t>
      </w:r>
      <w:r w:rsidRPr="00323B40">
        <w:rPr>
          <w:color w:val="000000"/>
        </w:rPr>
        <w:t xml:space="preserve"> por ejemplo: demanda, excepciones previas, recurso, solicitud de notificación, embargos, liquidaciones, remate, puesta en posesión, entre otros. </w:t>
      </w:r>
    </w:p>
    <w:p w14:paraId="1EBE834A" w14:textId="77A60A1A" w:rsidR="005240B4" w:rsidRPr="00323B40" w:rsidRDefault="007B6C69" w:rsidP="00323B40">
      <w:pPr>
        <w:suppressAutoHyphens w:val="0"/>
        <w:jc w:val="both"/>
        <w:rPr>
          <w:color w:val="000000"/>
        </w:rPr>
      </w:pPr>
      <w:r w:rsidRPr="00323B40">
        <w:rPr>
          <w:color w:val="000000"/>
        </w:rPr>
        <w:t>En caso de que</w:t>
      </w:r>
      <w:r w:rsidR="005240B4" w:rsidRPr="00323B40">
        <w:rPr>
          <w:color w:val="000000"/>
        </w:rPr>
        <w:t xml:space="preserve"> el interesado presente el escrito directamente por el sistema de Gestión en Línea, deberá utilizar la tipificación que corresponda a la gestión que se efectúa.</w:t>
      </w:r>
    </w:p>
    <w:p w14:paraId="0290D1E4" w14:textId="77777777" w:rsidR="005240B4" w:rsidRPr="00323B40" w:rsidRDefault="005240B4" w:rsidP="00323B40">
      <w:pPr>
        <w:suppressAutoHyphens w:val="0"/>
        <w:jc w:val="both"/>
      </w:pPr>
      <w:r w:rsidRPr="00323B40">
        <w:rPr>
          <w:color w:val="000000"/>
        </w:rPr>
        <w:t xml:space="preserve">El usuario será responsable del atraso que pueda ocasionar en la atención de su gestión si no rotula </w:t>
      </w:r>
      <w:r w:rsidRPr="00323B40">
        <w:rPr>
          <w:b/>
          <w:bCs/>
          <w:color w:val="000000"/>
          <w:u w:val="single"/>
        </w:rPr>
        <w:t>O TIPIFICA DEBIDAMENTE</w:t>
      </w:r>
      <w:r w:rsidRPr="00323B40">
        <w:rPr>
          <w:color w:val="000000"/>
        </w:rPr>
        <w:t xml:space="preserve"> los escritos que se presenten ante las Oficinas de Recepción de Documentos, rotularlos con una gestión incorrecta, o de utilizar una </w:t>
      </w:r>
      <w:r w:rsidRPr="00323B40">
        <w:rPr>
          <w:bCs/>
          <w:color w:val="000000"/>
        </w:rPr>
        <w:t>identificación</w:t>
      </w:r>
      <w:r w:rsidRPr="00323B40">
        <w:rPr>
          <w:color w:val="000000"/>
        </w:rPr>
        <w:t xml:space="preserve"> que no corresponda en el Sistema de Gestión en Línea. </w:t>
      </w:r>
    </w:p>
    <w:p w14:paraId="17B0F4FA" w14:textId="422F4EF9" w:rsidR="005240B4" w:rsidRPr="00323B40" w:rsidRDefault="005240B4" w:rsidP="00323B40">
      <w:pPr>
        <w:suppressAutoHyphens w:val="0"/>
        <w:jc w:val="both"/>
        <w:rPr>
          <w:bCs/>
          <w:i/>
        </w:rPr>
      </w:pPr>
      <w:r w:rsidRPr="00323B40">
        <w:rPr>
          <w:color w:val="000000"/>
        </w:rPr>
        <w:t>Esta medida agilizará y facilitará la identificación de las gestiones y con ello el trámite en los distintos procesos en beneficio del usuario/a.”</w:t>
      </w:r>
      <w:r w:rsidRPr="00323B40">
        <w:rPr>
          <w:bCs/>
          <w:i/>
        </w:rPr>
        <w:t>”</w:t>
      </w:r>
    </w:p>
    <w:p w14:paraId="2096EBAF" w14:textId="46D63919" w:rsidR="00921F72" w:rsidRPr="00323B40" w:rsidRDefault="00921F72" w:rsidP="00A1570D">
      <w:pPr>
        <w:suppressAutoHyphens w:val="0"/>
        <w:autoSpaceDE w:val="0"/>
        <w:autoSpaceDN w:val="0"/>
        <w:adjustRightInd w:val="0"/>
        <w:ind w:left="851" w:right="851"/>
        <w:jc w:val="both"/>
        <w:rPr>
          <w:b/>
          <w:bCs/>
        </w:rPr>
      </w:pPr>
    </w:p>
    <w:p w14:paraId="23595BDC" w14:textId="77777777" w:rsidR="005240B4" w:rsidRPr="00323B40" w:rsidRDefault="005240B4" w:rsidP="00A1570D">
      <w:pPr>
        <w:suppressAutoHyphens w:val="0"/>
        <w:autoSpaceDE w:val="0"/>
        <w:autoSpaceDN w:val="0"/>
        <w:adjustRightInd w:val="0"/>
        <w:ind w:left="851" w:right="851"/>
        <w:jc w:val="both"/>
        <w:rPr>
          <w:b/>
          <w:bCs/>
        </w:rPr>
      </w:pPr>
    </w:p>
    <w:p w14:paraId="58DC51F8" w14:textId="1D0EE3F7" w:rsidR="00921F72" w:rsidRPr="00323B40" w:rsidRDefault="00921F72" w:rsidP="00A1570D">
      <w:pPr>
        <w:suppressAutoHyphens w:val="0"/>
        <w:autoSpaceDE w:val="0"/>
        <w:autoSpaceDN w:val="0"/>
        <w:adjustRightInd w:val="0"/>
        <w:ind w:right="851"/>
        <w:jc w:val="both"/>
        <w:rPr>
          <w:lang w:eastAsia="es-ES"/>
        </w:rPr>
      </w:pPr>
      <w:r w:rsidRPr="00323B40">
        <w:rPr>
          <w:b/>
          <w:bCs/>
        </w:rPr>
        <w:t xml:space="preserve">San José, </w:t>
      </w:r>
      <w:r w:rsidR="0044100D" w:rsidRPr="00323B40">
        <w:rPr>
          <w:b/>
          <w:bCs/>
        </w:rPr>
        <w:t>4</w:t>
      </w:r>
      <w:r w:rsidRPr="00323B40">
        <w:rPr>
          <w:b/>
          <w:bCs/>
        </w:rPr>
        <w:t xml:space="preserve"> de </w:t>
      </w:r>
      <w:r w:rsidR="0044100D" w:rsidRPr="00323B40">
        <w:rPr>
          <w:b/>
          <w:bCs/>
        </w:rPr>
        <w:t xml:space="preserve">octubre </w:t>
      </w:r>
      <w:r w:rsidRPr="00323B40">
        <w:rPr>
          <w:b/>
          <w:bCs/>
        </w:rPr>
        <w:t>de 2019</w:t>
      </w:r>
    </w:p>
    <w:p w14:paraId="1741762E" w14:textId="77777777" w:rsidR="00921F72" w:rsidRPr="00323B40" w:rsidRDefault="00921F72" w:rsidP="00A1570D">
      <w:pPr>
        <w:ind w:left="851" w:right="851"/>
        <w:jc w:val="both"/>
        <w:rPr>
          <w:rFonts w:eastAsia="Arial Unicode MS"/>
          <w:b/>
          <w:bCs/>
          <w:kern w:val="2"/>
          <w:lang w:eastAsia="es-CR"/>
        </w:rPr>
      </w:pPr>
    </w:p>
    <w:p w14:paraId="455F8971" w14:textId="77777777" w:rsidR="00921F72" w:rsidRPr="00323B40" w:rsidRDefault="00921F72" w:rsidP="00A1570D">
      <w:pPr>
        <w:ind w:left="851" w:right="851"/>
        <w:jc w:val="both"/>
        <w:rPr>
          <w:rFonts w:eastAsia="Arial Unicode MS"/>
          <w:b/>
          <w:bCs/>
          <w:kern w:val="2"/>
          <w:lang w:eastAsia="es-CR"/>
        </w:rPr>
      </w:pPr>
    </w:p>
    <w:p w14:paraId="7D289FDF" w14:textId="77777777" w:rsidR="00921F72" w:rsidRPr="00323B40" w:rsidRDefault="00921F72" w:rsidP="00A1570D">
      <w:pPr>
        <w:ind w:left="851" w:right="851"/>
        <w:jc w:val="both"/>
        <w:rPr>
          <w:rFonts w:eastAsia="Arial Unicode MS"/>
          <w:b/>
          <w:bCs/>
          <w:kern w:val="2"/>
          <w:lang w:eastAsia="es-CR"/>
        </w:rPr>
      </w:pPr>
    </w:p>
    <w:p w14:paraId="1A8A1677" w14:textId="77777777" w:rsidR="00921F72" w:rsidRPr="00323B40" w:rsidRDefault="00921F72" w:rsidP="00A1570D">
      <w:pPr>
        <w:pStyle w:val="Ttulo51"/>
        <w:keepNext w:val="0"/>
        <w:tabs>
          <w:tab w:val="clear" w:pos="0"/>
          <w:tab w:val="left" w:pos="708"/>
        </w:tabs>
        <w:ind w:right="851"/>
        <w:jc w:val="both"/>
        <w:rPr>
          <w:rFonts w:eastAsia="Times New Roman"/>
          <w:i w:val="0"/>
          <w:iCs w:val="0"/>
          <w:sz w:val="24"/>
          <w:szCs w:val="24"/>
          <w:u w:val="none"/>
        </w:rPr>
      </w:pPr>
      <w:r w:rsidRPr="00323B40">
        <w:rPr>
          <w:rFonts w:eastAsia="Times New Roman"/>
          <w:i w:val="0"/>
          <w:iCs w:val="0"/>
          <w:sz w:val="24"/>
          <w:szCs w:val="24"/>
          <w:u w:val="none"/>
        </w:rPr>
        <w:t>Lic. Carlos Toscano Mora Rodríguez</w:t>
      </w:r>
    </w:p>
    <w:p w14:paraId="3E8C8ECD" w14:textId="77777777" w:rsidR="00921F72" w:rsidRPr="00323B40" w:rsidRDefault="00921F72" w:rsidP="00A1570D">
      <w:pPr>
        <w:pStyle w:val="Ttulo51"/>
        <w:keepNext w:val="0"/>
        <w:tabs>
          <w:tab w:val="clear" w:pos="0"/>
          <w:tab w:val="left" w:pos="708"/>
        </w:tabs>
        <w:ind w:right="851"/>
        <w:jc w:val="both"/>
        <w:rPr>
          <w:rFonts w:eastAsia="Times New Roman"/>
          <w:i w:val="0"/>
          <w:iCs w:val="0"/>
          <w:sz w:val="24"/>
          <w:szCs w:val="24"/>
          <w:u w:val="none"/>
        </w:rPr>
      </w:pPr>
      <w:r w:rsidRPr="00323B40">
        <w:rPr>
          <w:rFonts w:eastAsia="Times New Roman"/>
          <w:i w:val="0"/>
          <w:iCs w:val="0"/>
          <w:sz w:val="24"/>
          <w:szCs w:val="24"/>
          <w:u w:val="none"/>
        </w:rPr>
        <w:t>Subsecretario General interino</w:t>
      </w:r>
    </w:p>
    <w:p w14:paraId="314F1176" w14:textId="77777777" w:rsidR="00921F72" w:rsidRPr="00323B40" w:rsidRDefault="00921F72" w:rsidP="00A1570D">
      <w:pPr>
        <w:ind w:right="851"/>
        <w:jc w:val="both"/>
        <w:rPr>
          <w:b/>
          <w:bCs/>
        </w:rPr>
      </w:pPr>
      <w:r w:rsidRPr="00323B40">
        <w:rPr>
          <w:b/>
          <w:bCs/>
        </w:rPr>
        <w:t>Corte Suprema de Justicia</w:t>
      </w:r>
    </w:p>
    <w:p w14:paraId="415D9E2E" w14:textId="77777777" w:rsidR="00921F72" w:rsidRPr="00323B40" w:rsidRDefault="00921F72" w:rsidP="00A1570D">
      <w:pPr>
        <w:jc w:val="both"/>
      </w:pPr>
    </w:p>
    <w:p w14:paraId="3F8A1B09" w14:textId="77777777" w:rsidR="00921F72" w:rsidRPr="00323B40" w:rsidRDefault="00921F72" w:rsidP="009157AD">
      <w:pPr>
        <w:jc w:val="both"/>
      </w:pPr>
    </w:p>
    <w:p w14:paraId="303BF752" w14:textId="73128E58" w:rsidR="00921F72" w:rsidRPr="00323B40" w:rsidRDefault="00921F72" w:rsidP="009157AD">
      <w:pPr>
        <w:jc w:val="both"/>
        <w:rPr>
          <w:bCs/>
        </w:rPr>
      </w:pPr>
      <w:r w:rsidRPr="00323B40">
        <w:t>Refs</w:t>
      </w:r>
      <w:r w:rsidR="00955EEF" w:rsidRPr="00323B40">
        <w:t>.</w:t>
      </w:r>
      <w:r w:rsidRPr="00323B40">
        <w:t xml:space="preserve">: </w:t>
      </w:r>
      <w:r w:rsidR="00A1570D" w:rsidRPr="00323B40">
        <w:rPr>
          <w:bCs/>
        </w:rPr>
        <w:t>10319</w:t>
      </w:r>
      <w:r w:rsidR="00A71976" w:rsidRPr="00323B40">
        <w:rPr>
          <w:bCs/>
        </w:rPr>
        <w:t>-19</w:t>
      </w:r>
    </w:p>
    <w:p w14:paraId="078BD078" w14:textId="22391902" w:rsidR="00921F72" w:rsidRPr="00323B40" w:rsidRDefault="00FA71E6" w:rsidP="009157AD">
      <w:pPr>
        <w:jc w:val="both"/>
      </w:pPr>
      <w:r w:rsidRPr="00323B40">
        <w:rPr>
          <w:bCs/>
        </w:rPr>
        <w:t>Kenneth</w:t>
      </w:r>
    </w:p>
    <w:p w14:paraId="19C9509B" w14:textId="77777777" w:rsidR="00834F47" w:rsidRPr="00323B40" w:rsidRDefault="005608F4" w:rsidP="009157AD">
      <w:pPr>
        <w:jc w:val="both"/>
      </w:pPr>
    </w:p>
    <w:sectPr w:rsidR="00834F47" w:rsidRPr="00323B40" w:rsidSect="00F66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72"/>
    <w:rsid w:val="00194B54"/>
    <w:rsid w:val="00323B40"/>
    <w:rsid w:val="0044100D"/>
    <w:rsid w:val="004C1F31"/>
    <w:rsid w:val="005240B4"/>
    <w:rsid w:val="0054676F"/>
    <w:rsid w:val="005608F4"/>
    <w:rsid w:val="00611EA5"/>
    <w:rsid w:val="00671363"/>
    <w:rsid w:val="007B6C69"/>
    <w:rsid w:val="009157AD"/>
    <w:rsid w:val="00921F72"/>
    <w:rsid w:val="00955EEF"/>
    <w:rsid w:val="009C0BAE"/>
    <w:rsid w:val="00A1570D"/>
    <w:rsid w:val="00A42F3D"/>
    <w:rsid w:val="00A71976"/>
    <w:rsid w:val="00C36E93"/>
    <w:rsid w:val="00CE3215"/>
    <w:rsid w:val="00F66C6E"/>
    <w:rsid w:val="00FA71E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266C"/>
  <w15:docId w15:val="{0CA76BD2-9025-401A-9521-8D1F9685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before="100" w:beforeAutospacing="1" w:after="100" w:afterAutospacing="1"/>
        <w:ind w:left="851" w:right="851" w:firstLine="709"/>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1F72"/>
    <w:pPr>
      <w:suppressAutoHyphens/>
      <w:spacing w:before="0" w:beforeAutospacing="0" w:after="0" w:afterAutospacing="0"/>
      <w:ind w:left="0" w:right="0" w:firstLine="0"/>
      <w:jc w:val="left"/>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2">
    <w:name w:val="Texto de bloque2"/>
    <w:basedOn w:val="Normal"/>
    <w:rsid w:val="00921F72"/>
    <w:pPr>
      <w:widowControl w:val="0"/>
      <w:suppressAutoHyphens w:val="0"/>
      <w:ind w:left="851" w:right="851" w:firstLine="709"/>
      <w:jc w:val="both"/>
    </w:pPr>
  </w:style>
  <w:style w:type="paragraph" w:customStyle="1" w:styleId="Ttulo51">
    <w:name w:val="Título 51"/>
    <w:next w:val="Normal"/>
    <w:rsid w:val="00921F72"/>
    <w:pPr>
      <w:keepNext/>
      <w:widowControl w:val="0"/>
      <w:tabs>
        <w:tab w:val="left" w:pos="0"/>
      </w:tabs>
      <w:suppressAutoHyphens/>
      <w:spacing w:before="0" w:beforeAutospacing="0" w:after="0" w:afterAutospacing="0"/>
      <w:ind w:left="0" w:right="0" w:firstLine="0"/>
      <w:jc w:val="center"/>
    </w:pPr>
    <w:rPr>
      <w:rFonts w:ascii="Times New Roman" w:eastAsia="Lucida Sans Unicode" w:hAnsi="Times New Roman" w:cs="Times New Roman"/>
      <w:b/>
      <w:bCs/>
      <w:i/>
      <w:iCs/>
      <w:sz w:val="26"/>
      <w:szCs w:val="26"/>
      <w:u w:val="single"/>
      <w:shd w:val="clear" w:color="auto" w:fill="FFFFFF"/>
      <w:lang w:val="es-ES" w:eastAsia="zh-CN"/>
    </w:rPr>
  </w:style>
  <w:style w:type="character" w:customStyle="1" w:styleId="NormalWebCar">
    <w:name w:val="Normal (Web) Car"/>
    <w:link w:val="NormalWeb"/>
    <w:qFormat/>
    <w:locked/>
    <w:rsid w:val="00A1570D"/>
    <w:rPr>
      <w:sz w:val="24"/>
      <w:szCs w:val="24"/>
      <w:lang w:val="es-ES" w:eastAsia="ar-SA"/>
    </w:rPr>
  </w:style>
  <w:style w:type="paragraph" w:styleId="NormalWeb">
    <w:name w:val="Normal (Web)"/>
    <w:basedOn w:val="Normal"/>
    <w:link w:val="NormalWebCar"/>
    <w:unhideWhenUsed/>
    <w:qFormat/>
    <w:rsid w:val="00A1570D"/>
    <w:pPr>
      <w:spacing w:before="280" w:after="280"/>
    </w:pPr>
    <w:rPr>
      <w:rFonts w:asciiTheme="minorHAnsi" w:eastAsiaTheme="minorHAnsi" w:hAnsiTheme="minorHAnsi" w:cstheme="minorBid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59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2010</Characters>
  <Application>Microsoft Office Word</Application>
  <DocSecurity>4</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aromanc</dc:creator>
  <cp:lastModifiedBy>Secretaría General de la Corte - Comunicaciones - Claudio Pessoa Quesada</cp:lastModifiedBy>
  <cp:revision>2</cp:revision>
  <dcterms:created xsi:type="dcterms:W3CDTF">2019-10-08T21:46:00Z</dcterms:created>
  <dcterms:modified xsi:type="dcterms:W3CDTF">2019-10-08T21:46:00Z</dcterms:modified>
</cp:coreProperties>
</file>