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01CC5C" w14:textId="2A735BFF" w:rsidR="00635892" w:rsidRPr="000E1D56" w:rsidRDefault="00635892" w:rsidP="000E1D56">
      <w:pPr>
        <w:jc w:val="both"/>
        <w:rPr>
          <w:b/>
          <w:bCs/>
          <w:color w:val="000000"/>
          <w:u w:val="single"/>
        </w:rPr>
      </w:pPr>
      <w:r w:rsidRPr="000E1D56">
        <w:rPr>
          <w:b/>
          <w:bCs/>
          <w:color w:val="000000"/>
          <w:u w:val="single"/>
        </w:rPr>
        <w:t>CIRCULAR No</w:t>
      </w:r>
      <w:r w:rsidR="00C6690D" w:rsidRPr="000E1D56">
        <w:rPr>
          <w:b/>
          <w:bCs/>
          <w:color w:val="000000"/>
          <w:u w:val="single"/>
        </w:rPr>
        <w:t>.</w:t>
      </w:r>
      <w:r w:rsidRPr="000E1D56">
        <w:rPr>
          <w:b/>
          <w:bCs/>
          <w:color w:val="000000"/>
          <w:u w:val="single"/>
        </w:rPr>
        <w:t xml:space="preserve"> </w:t>
      </w:r>
      <w:r w:rsidR="000E1D56">
        <w:rPr>
          <w:b/>
          <w:bCs/>
          <w:color w:val="000000"/>
          <w:u w:val="single"/>
        </w:rPr>
        <w:t>195</w:t>
      </w:r>
      <w:r w:rsidRPr="000E1D56">
        <w:rPr>
          <w:b/>
          <w:bCs/>
          <w:color w:val="000000"/>
          <w:u w:val="single"/>
        </w:rPr>
        <w:t>-201</w:t>
      </w:r>
      <w:r w:rsidR="000E1D56" w:rsidRPr="000E1D56">
        <w:rPr>
          <w:b/>
          <w:bCs/>
          <w:color w:val="000000"/>
          <w:u w:val="single"/>
        </w:rPr>
        <w:t>9</w:t>
      </w:r>
    </w:p>
    <w:p w14:paraId="6809C015" w14:textId="77777777" w:rsidR="00635892" w:rsidRPr="000E1D56" w:rsidRDefault="00635892" w:rsidP="000E1D56">
      <w:pPr>
        <w:jc w:val="both"/>
        <w:rPr>
          <w:b/>
          <w:bCs/>
          <w:u w:val="single"/>
        </w:rPr>
      </w:pPr>
      <w:bookmarkStart w:id="0" w:name="_GoBack"/>
      <w:bookmarkEnd w:id="0"/>
    </w:p>
    <w:p w14:paraId="591ADD97" w14:textId="77777777" w:rsidR="00545EB9" w:rsidRPr="000E1D56" w:rsidRDefault="00545EB9" w:rsidP="000E1D56">
      <w:pPr>
        <w:jc w:val="both"/>
        <w:rPr>
          <w:b/>
          <w:bCs/>
          <w:u w:val="single"/>
        </w:rPr>
      </w:pPr>
    </w:p>
    <w:p w14:paraId="76B3BC46" w14:textId="230CC7C0" w:rsidR="00635892" w:rsidRPr="000E1D56" w:rsidRDefault="00635892" w:rsidP="000E1D56">
      <w:pPr>
        <w:jc w:val="both"/>
        <w:rPr>
          <w:bCs/>
        </w:rPr>
      </w:pPr>
      <w:r w:rsidRPr="000E1D56">
        <w:rPr>
          <w:b/>
          <w:bCs/>
          <w:u w:val="single"/>
        </w:rPr>
        <w:t>Asunto</w:t>
      </w:r>
      <w:r w:rsidRPr="000E1D56">
        <w:rPr>
          <w:bCs/>
        </w:rPr>
        <w:t xml:space="preserve">: </w:t>
      </w:r>
      <w:r w:rsidRPr="000E1D56">
        <w:rPr>
          <w:bCs/>
        </w:rPr>
        <w:tab/>
      </w:r>
      <w:r w:rsidR="00545EB9" w:rsidRPr="000E1D56">
        <w:rPr>
          <w:bCs/>
        </w:rPr>
        <w:t xml:space="preserve">Reiteración de la circular N° </w:t>
      </w:r>
      <w:r w:rsidR="000E1D56" w:rsidRPr="000E1D56">
        <w:rPr>
          <w:bCs/>
        </w:rPr>
        <w:t>104</w:t>
      </w:r>
      <w:r w:rsidR="00545EB9" w:rsidRPr="000E1D56">
        <w:rPr>
          <w:bCs/>
        </w:rPr>
        <w:t>-1</w:t>
      </w:r>
      <w:r w:rsidR="000E1D56" w:rsidRPr="000E1D56">
        <w:rPr>
          <w:bCs/>
        </w:rPr>
        <w:t>3</w:t>
      </w:r>
      <w:r w:rsidR="00545EB9" w:rsidRPr="000E1D56">
        <w:rPr>
          <w:bCs/>
        </w:rPr>
        <w:t xml:space="preserve"> </w:t>
      </w:r>
      <w:r w:rsidR="004B3975" w:rsidRPr="000E1D56">
        <w:rPr>
          <w:rFonts w:eastAsia="Times New Roman"/>
          <w:kern w:val="0"/>
        </w:rPr>
        <w:t xml:space="preserve">sobre </w:t>
      </w:r>
      <w:r w:rsidR="004B3975" w:rsidRPr="000E1D56">
        <w:rPr>
          <w:rFonts w:eastAsia="Times New Roman"/>
          <w:i/>
          <w:iCs/>
          <w:kern w:val="0"/>
        </w:rPr>
        <w:t>“</w:t>
      </w:r>
      <w:r w:rsidR="000E1D56" w:rsidRPr="000E1D56">
        <w:rPr>
          <w:rFonts w:eastAsia="Times New Roman"/>
          <w:i/>
          <w:iCs/>
          <w:kern w:val="0"/>
        </w:rPr>
        <w:t>Reglamento sobre Expediente Judicial Electrónico ante el Poder Judicial</w:t>
      </w:r>
      <w:r w:rsidR="004B3975" w:rsidRPr="000E1D56">
        <w:rPr>
          <w:rFonts w:eastAsia="Times New Roman"/>
          <w:i/>
          <w:iCs/>
          <w:kern w:val="0"/>
        </w:rPr>
        <w:t>)</w:t>
      </w:r>
      <w:r w:rsidR="00545EB9" w:rsidRPr="000E1D56">
        <w:rPr>
          <w:bCs/>
        </w:rPr>
        <w:t>”</w:t>
      </w:r>
      <w:r w:rsidR="00F915D9" w:rsidRPr="000E1D56">
        <w:rPr>
          <w:bCs/>
        </w:rPr>
        <w:t xml:space="preserve">.- </w:t>
      </w:r>
    </w:p>
    <w:p w14:paraId="684AC223" w14:textId="77777777" w:rsidR="00635892" w:rsidRPr="000E1D56" w:rsidRDefault="00635892" w:rsidP="000E1D56">
      <w:pPr>
        <w:jc w:val="both"/>
        <w:rPr>
          <w:bCs/>
        </w:rPr>
      </w:pPr>
    </w:p>
    <w:p w14:paraId="75C8F9DF" w14:textId="62BDF8C5" w:rsidR="00635892" w:rsidRPr="000E1D56" w:rsidRDefault="000E1D56" w:rsidP="000E1D56">
      <w:pPr>
        <w:jc w:val="both"/>
        <w:rPr>
          <w:rFonts w:eastAsia="Times New Roman"/>
          <w:b/>
          <w:bCs/>
          <w:kern w:val="0"/>
          <w:lang w:val="es-CR"/>
        </w:rPr>
      </w:pPr>
      <w:r w:rsidRPr="000E1D56">
        <w:rPr>
          <w:b/>
          <w:bCs/>
          <w:color w:val="000000"/>
          <w:shd w:val="clear" w:color="auto" w:fill="FFFFFF"/>
        </w:rPr>
        <w:t>A TODOS LOS DESPACHOS JUDICIALES DEL PAÍS</w:t>
      </w:r>
    </w:p>
    <w:p w14:paraId="3A26D161" w14:textId="77777777" w:rsidR="004B3975" w:rsidRPr="000E1D56" w:rsidRDefault="004B3975" w:rsidP="000E1D56">
      <w:pPr>
        <w:jc w:val="both"/>
        <w:rPr>
          <w:b/>
          <w:bCs/>
          <w:u w:val="single"/>
        </w:rPr>
      </w:pPr>
    </w:p>
    <w:p w14:paraId="7E3B4955" w14:textId="77777777" w:rsidR="00635892" w:rsidRPr="000E1D56" w:rsidRDefault="00635892" w:rsidP="000E1D56">
      <w:pPr>
        <w:spacing w:line="480" w:lineRule="auto"/>
        <w:jc w:val="both"/>
        <w:rPr>
          <w:b/>
          <w:bCs/>
        </w:rPr>
      </w:pPr>
      <w:r w:rsidRPr="000E1D56">
        <w:rPr>
          <w:b/>
          <w:bCs/>
          <w:u w:val="single"/>
        </w:rPr>
        <w:t>SE LES HACE SABER QUE</w:t>
      </w:r>
      <w:r w:rsidRPr="000E1D56">
        <w:rPr>
          <w:b/>
          <w:bCs/>
        </w:rPr>
        <w:t>:</w:t>
      </w:r>
    </w:p>
    <w:p w14:paraId="43792C94" w14:textId="2713C0D2" w:rsidR="00545EB9" w:rsidRPr="000E1D56" w:rsidRDefault="00545EB9" w:rsidP="000E1D56">
      <w:pPr>
        <w:widowControl/>
        <w:suppressAutoHyphens w:val="0"/>
        <w:spacing w:line="360" w:lineRule="auto"/>
        <w:jc w:val="both"/>
        <w:rPr>
          <w:rFonts w:eastAsia="Times New Roman"/>
          <w:kern w:val="0"/>
          <w:lang w:eastAsia="es-ES"/>
        </w:rPr>
      </w:pPr>
      <w:r w:rsidRPr="000E1D56">
        <w:rPr>
          <w:rFonts w:eastAsia="Times New Roman"/>
          <w:kern w:val="0"/>
          <w:lang w:eastAsia="es-ES"/>
        </w:rPr>
        <w:t xml:space="preserve">El Consejo Superior del Poder Judicial en sesión No. </w:t>
      </w:r>
      <w:r w:rsidR="004B3975" w:rsidRPr="000E1D56">
        <w:rPr>
          <w:rFonts w:eastAsia="Times New Roman"/>
          <w:kern w:val="0"/>
          <w:lang w:eastAsia="es-ES"/>
        </w:rPr>
        <w:t>88</w:t>
      </w:r>
      <w:r w:rsidRPr="000E1D56">
        <w:rPr>
          <w:rFonts w:eastAsia="Times New Roman"/>
          <w:kern w:val="0"/>
          <w:lang w:eastAsia="es-ES"/>
        </w:rPr>
        <w:t>-1</w:t>
      </w:r>
      <w:r w:rsidR="000E1D56" w:rsidRPr="000E1D56">
        <w:rPr>
          <w:rFonts w:eastAsia="Times New Roman"/>
          <w:kern w:val="0"/>
          <w:lang w:eastAsia="es-ES"/>
        </w:rPr>
        <w:t>9</w:t>
      </w:r>
      <w:r w:rsidRPr="000E1D56">
        <w:rPr>
          <w:rFonts w:eastAsia="Times New Roman"/>
          <w:kern w:val="0"/>
          <w:lang w:eastAsia="es-ES"/>
        </w:rPr>
        <w:t xml:space="preserve">, celebrada el </w:t>
      </w:r>
      <w:r w:rsidR="000E1D56" w:rsidRPr="000E1D56">
        <w:rPr>
          <w:rFonts w:eastAsia="Times New Roman"/>
          <w:kern w:val="0"/>
          <w:lang w:eastAsia="es-ES"/>
        </w:rPr>
        <w:t>10</w:t>
      </w:r>
      <w:r w:rsidRPr="000E1D56">
        <w:rPr>
          <w:rFonts w:eastAsia="Times New Roman"/>
          <w:kern w:val="0"/>
          <w:lang w:eastAsia="es-ES"/>
        </w:rPr>
        <w:t xml:space="preserve"> de </w:t>
      </w:r>
      <w:r w:rsidR="000E1D56" w:rsidRPr="000E1D56">
        <w:rPr>
          <w:rFonts w:eastAsia="Times New Roman"/>
          <w:kern w:val="0"/>
          <w:lang w:eastAsia="es-ES"/>
        </w:rPr>
        <w:t>octubre</w:t>
      </w:r>
      <w:r w:rsidR="004B3975" w:rsidRPr="000E1D56">
        <w:rPr>
          <w:rFonts w:eastAsia="Times New Roman"/>
          <w:kern w:val="0"/>
          <w:lang w:eastAsia="es-ES"/>
        </w:rPr>
        <w:t xml:space="preserve"> de</w:t>
      </w:r>
      <w:r w:rsidRPr="000E1D56">
        <w:rPr>
          <w:rFonts w:eastAsia="Times New Roman"/>
          <w:kern w:val="0"/>
          <w:lang w:eastAsia="es-ES"/>
        </w:rPr>
        <w:t xml:space="preserve"> 201</w:t>
      </w:r>
      <w:r w:rsidR="000E1D56" w:rsidRPr="000E1D56">
        <w:rPr>
          <w:rFonts w:eastAsia="Times New Roman"/>
          <w:kern w:val="0"/>
          <w:lang w:eastAsia="es-ES"/>
        </w:rPr>
        <w:t>9</w:t>
      </w:r>
      <w:r w:rsidRPr="000E1D56">
        <w:rPr>
          <w:rFonts w:eastAsia="Times New Roman"/>
          <w:kern w:val="0"/>
          <w:lang w:eastAsia="es-ES"/>
        </w:rPr>
        <w:t xml:space="preserve">, artículo </w:t>
      </w:r>
      <w:r w:rsidR="000E1D56" w:rsidRPr="000E1D56">
        <w:rPr>
          <w:rFonts w:eastAsia="Times New Roman"/>
          <w:kern w:val="0"/>
          <w:lang w:eastAsia="es-ES"/>
        </w:rPr>
        <w:t>LXX</w:t>
      </w:r>
      <w:r w:rsidRPr="000E1D56">
        <w:rPr>
          <w:rFonts w:eastAsia="Times New Roman"/>
          <w:kern w:val="0"/>
          <w:lang w:eastAsia="es-ES"/>
        </w:rPr>
        <w:t>X</w:t>
      </w:r>
      <w:r w:rsidR="004B3975" w:rsidRPr="000E1D56">
        <w:rPr>
          <w:rFonts w:eastAsia="Times New Roman"/>
          <w:kern w:val="0"/>
          <w:lang w:eastAsia="es-ES"/>
        </w:rPr>
        <w:t>VII</w:t>
      </w:r>
      <w:r w:rsidR="000E1D56" w:rsidRPr="000E1D56">
        <w:rPr>
          <w:rFonts w:eastAsia="Times New Roman"/>
          <w:kern w:val="0"/>
          <w:lang w:eastAsia="es-ES"/>
        </w:rPr>
        <w:t>I</w:t>
      </w:r>
      <w:r w:rsidRPr="000E1D56">
        <w:rPr>
          <w:rFonts w:eastAsia="Times New Roman"/>
          <w:kern w:val="0"/>
          <w:lang w:eastAsia="es-ES"/>
        </w:rPr>
        <w:t xml:space="preserve">, acordó </w:t>
      </w:r>
      <w:bookmarkStart w:id="1" w:name="marca1"/>
      <w:r w:rsidRPr="000E1D56">
        <w:rPr>
          <w:rFonts w:eastAsia="Times New Roman"/>
          <w:bCs/>
          <w:kern w:val="0"/>
          <w:lang w:eastAsia="es-ES"/>
        </w:rPr>
        <w:t>reiterarles</w:t>
      </w:r>
      <w:bookmarkEnd w:id="1"/>
      <w:r w:rsidRPr="000E1D56">
        <w:rPr>
          <w:rFonts w:eastAsia="Times New Roman"/>
          <w:kern w:val="0"/>
          <w:lang w:eastAsia="es-ES"/>
        </w:rPr>
        <w:t xml:space="preserve"> la </w:t>
      </w:r>
      <w:r w:rsidR="000E1D56" w:rsidRPr="000E1D56">
        <w:rPr>
          <w:bCs/>
        </w:rPr>
        <w:t xml:space="preserve">circular N° 104-13 </w:t>
      </w:r>
      <w:r w:rsidR="000E1D56" w:rsidRPr="000E1D56">
        <w:rPr>
          <w:rFonts w:eastAsia="Times New Roman"/>
          <w:kern w:val="0"/>
        </w:rPr>
        <w:t xml:space="preserve">sobre </w:t>
      </w:r>
      <w:r w:rsidR="000E1D56" w:rsidRPr="000E1D56">
        <w:rPr>
          <w:rFonts w:eastAsia="Times New Roman"/>
          <w:i/>
          <w:iCs/>
          <w:kern w:val="0"/>
        </w:rPr>
        <w:t>“Reglamento sobre Expediente Judicial Electrónico ante el Poder Judicial</w:t>
      </w:r>
      <w:r w:rsidR="004B3975" w:rsidRPr="000E1D56">
        <w:rPr>
          <w:rFonts w:eastAsia="Times New Roman"/>
          <w:i/>
          <w:iCs/>
          <w:kern w:val="0"/>
        </w:rPr>
        <w:t>)</w:t>
      </w:r>
      <w:r w:rsidRPr="000E1D56">
        <w:rPr>
          <w:rFonts w:eastAsia="Times New Roman"/>
          <w:i/>
          <w:iCs/>
          <w:kern w:val="0"/>
          <w:lang w:eastAsia="es-ES"/>
        </w:rPr>
        <w:t>”</w:t>
      </w:r>
      <w:r w:rsidRPr="000E1D56">
        <w:rPr>
          <w:rFonts w:eastAsia="Times New Roman"/>
          <w:kern w:val="0"/>
          <w:lang w:eastAsia="es-ES"/>
        </w:rPr>
        <w:t xml:space="preserve">, </w:t>
      </w:r>
      <w:r w:rsidR="004B3975" w:rsidRPr="000E1D56">
        <w:rPr>
          <w:rFonts w:eastAsia="Times New Roman"/>
          <w:kern w:val="0"/>
        </w:rPr>
        <w:t xml:space="preserve">publicada en el Boletín Judicial No. </w:t>
      </w:r>
      <w:r w:rsidR="000E1D56" w:rsidRPr="000E1D56">
        <w:rPr>
          <w:rFonts w:eastAsia="Times New Roman"/>
          <w:kern w:val="0"/>
        </w:rPr>
        <w:t>129</w:t>
      </w:r>
      <w:r w:rsidR="004B3975" w:rsidRPr="000E1D56">
        <w:rPr>
          <w:rFonts w:eastAsia="Times New Roman"/>
          <w:kern w:val="0"/>
        </w:rPr>
        <w:t xml:space="preserve"> del </w:t>
      </w:r>
      <w:r w:rsidR="000E1D56" w:rsidRPr="000E1D56">
        <w:rPr>
          <w:rFonts w:eastAsia="Times New Roman"/>
          <w:kern w:val="0"/>
        </w:rPr>
        <w:t>5</w:t>
      </w:r>
      <w:r w:rsidR="004B3975" w:rsidRPr="000E1D56">
        <w:rPr>
          <w:rFonts w:eastAsia="Times New Roman"/>
          <w:kern w:val="0"/>
        </w:rPr>
        <w:t xml:space="preserve"> </w:t>
      </w:r>
      <w:r w:rsidR="000E1D56" w:rsidRPr="000E1D56">
        <w:rPr>
          <w:rFonts w:eastAsia="Times New Roman"/>
          <w:kern w:val="0"/>
        </w:rPr>
        <w:t xml:space="preserve">julio </w:t>
      </w:r>
      <w:r w:rsidR="004B3975" w:rsidRPr="000E1D56">
        <w:rPr>
          <w:rFonts w:eastAsia="Times New Roman"/>
          <w:kern w:val="0"/>
        </w:rPr>
        <w:t>de 201</w:t>
      </w:r>
      <w:r w:rsidR="000E1D56" w:rsidRPr="000E1D56">
        <w:rPr>
          <w:rFonts w:eastAsia="Times New Roman"/>
          <w:kern w:val="0"/>
        </w:rPr>
        <w:t>3</w:t>
      </w:r>
      <w:r w:rsidR="004B3975" w:rsidRPr="000E1D56">
        <w:rPr>
          <w:rFonts w:eastAsia="Times New Roman"/>
          <w:kern w:val="0"/>
        </w:rPr>
        <w:t xml:space="preserve">, que </w:t>
      </w:r>
      <w:r w:rsidRPr="000E1D56">
        <w:rPr>
          <w:rFonts w:eastAsia="Times New Roman"/>
          <w:kern w:val="0"/>
          <w:lang w:eastAsia="es-ES"/>
        </w:rPr>
        <w:t>literalmente indica:  </w:t>
      </w:r>
    </w:p>
    <w:p w14:paraId="551DDCB0" w14:textId="6B3289FE" w:rsidR="000E1D56" w:rsidRDefault="00545EB9" w:rsidP="000E1D56">
      <w:pPr>
        <w:shd w:val="clear" w:color="auto" w:fill="FFFFFF"/>
        <w:spacing w:line="300" w:lineRule="atLeast"/>
        <w:jc w:val="both"/>
        <w:rPr>
          <w:color w:val="000000"/>
        </w:rPr>
      </w:pPr>
      <w:r w:rsidRPr="000E1D56">
        <w:rPr>
          <w:i/>
        </w:rPr>
        <w:t>“</w:t>
      </w:r>
      <w:r w:rsidR="000E1D56" w:rsidRPr="000E1D56">
        <w:rPr>
          <w:color w:val="000000"/>
        </w:rPr>
        <w:t>La Corte Plena en sesión N° 22-13, celebrada el 20 de mayo de 2013, artículo XXXI, aprobó el siguiente “Reglamento sobre Expediente Judicial Electrónico ante el Poder Judicial”, que literalmente dice:</w:t>
      </w:r>
    </w:p>
    <w:p w14:paraId="0CE4D2C8" w14:textId="77777777" w:rsidR="000E1D56" w:rsidRPr="000E1D56" w:rsidRDefault="000E1D56" w:rsidP="000E1D56">
      <w:pPr>
        <w:shd w:val="clear" w:color="auto" w:fill="FFFFFF"/>
        <w:spacing w:line="300" w:lineRule="atLeast"/>
        <w:jc w:val="both"/>
        <w:rPr>
          <w:rFonts w:eastAsia="Times New Roman"/>
          <w:color w:val="000000"/>
          <w:kern w:val="0"/>
          <w:lang w:val="es-CR"/>
        </w:rPr>
      </w:pPr>
    </w:p>
    <w:p w14:paraId="75A82121" w14:textId="4176FFB9" w:rsidR="000E1D56" w:rsidRDefault="000E1D56" w:rsidP="000E1D56">
      <w:pPr>
        <w:shd w:val="clear" w:color="auto" w:fill="FFFFFF"/>
        <w:jc w:val="both"/>
        <w:rPr>
          <w:b/>
          <w:bCs/>
          <w:color w:val="000000"/>
        </w:rPr>
      </w:pPr>
      <w:r w:rsidRPr="000E1D56">
        <w:rPr>
          <w:color w:val="000000"/>
        </w:rPr>
        <w:t>“</w:t>
      </w:r>
      <w:r w:rsidRPr="000E1D56">
        <w:rPr>
          <w:b/>
          <w:bCs/>
          <w:color w:val="000000"/>
        </w:rPr>
        <w:t>Reglamento sobre Expediente Judicial Electrónico ante el Poder Judicial</w:t>
      </w:r>
    </w:p>
    <w:p w14:paraId="0D3D3779" w14:textId="77777777" w:rsidR="000E1D56" w:rsidRPr="000E1D56" w:rsidRDefault="000E1D56" w:rsidP="000E1D56">
      <w:pPr>
        <w:shd w:val="clear" w:color="auto" w:fill="FFFFFF"/>
        <w:jc w:val="both"/>
        <w:rPr>
          <w:color w:val="000000"/>
        </w:rPr>
      </w:pPr>
    </w:p>
    <w:p w14:paraId="4E0BDCFC" w14:textId="77777777" w:rsidR="000E1D56" w:rsidRPr="000E1D56" w:rsidRDefault="000E1D56" w:rsidP="000E1D56">
      <w:pPr>
        <w:shd w:val="clear" w:color="auto" w:fill="FFFFFF"/>
        <w:jc w:val="both"/>
        <w:rPr>
          <w:color w:val="000000"/>
        </w:rPr>
      </w:pPr>
      <w:r w:rsidRPr="000E1D56">
        <w:rPr>
          <w:color w:val="000000"/>
        </w:rPr>
        <w:t>CAPÍTULO I</w:t>
      </w:r>
    </w:p>
    <w:p w14:paraId="38297BE6" w14:textId="77777777" w:rsidR="000E1D56" w:rsidRPr="000E1D56" w:rsidRDefault="000E1D56" w:rsidP="000E1D56">
      <w:pPr>
        <w:shd w:val="clear" w:color="auto" w:fill="FFFFFF"/>
        <w:jc w:val="both"/>
        <w:rPr>
          <w:color w:val="000000"/>
        </w:rPr>
      </w:pPr>
      <w:r w:rsidRPr="000E1D56">
        <w:rPr>
          <w:b/>
          <w:bCs/>
          <w:color w:val="000000"/>
        </w:rPr>
        <w:t>De la informatización del proceso judicial</w:t>
      </w:r>
    </w:p>
    <w:p w14:paraId="2A8303EB" w14:textId="77777777" w:rsidR="000E1D56" w:rsidRPr="000E1D56" w:rsidRDefault="000E1D56" w:rsidP="000E1D56">
      <w:pPr>
        <w:shd w:val="clear" w:color="auto" w:fill="FFFFFF"/>
        <w:jc w:val="both"/>
        <w:rPr>
          <w:color w:val="000000"/>
        </w:rPr>
      </w:pPr>
      <w:r w:rsidRPr="000E1D56">
        <w:rPr>
          <w:b/>
          <w:bCs/>
          <w:color w:val="000000"/>
        </w:rPr>
        <w:t>Artículo 1 Objetivo del Reglamento.</w:t>
      </w:r>
      <w:r w:rsidRPr="000E1D56">
        <w:rPr>
          <w:color w:val="000000"/>
        </w:rPr>
        <w:t> El uso de medios electrónicos en la tramitación de procesos judiciales, comunicación de actos y transmisión de piezas procesales será admitido en los términos de este Reglamento.</w:t>
      </w:r>
    </w:p>
    <w:p w14:paraId="7F3A0E48" w14:textId="77777777" w:rsidR="000E1D56" w:rsidRPr="000E1D56" w:rsidRDefault="000E1D56" w:rsidP="000E1D56">
      <w:pPr>
        <w:shd w:val="clear" w:color="auto" w:fill="FFFFFF"/>
        <w:jc w:val="both"/>
        <w:rPr>
          <w:color w:val="000000"/>
        </w:rPr>
      </w:pPr>
      <w:r w:rsidRPr="000E1D56">
        <w:rPr>
          <w:b/>
          <w:bCs/>
          <w:color w:val="000000"/>
        </w:rPr>
        <w:t>Artículo 2 Firmas de documentos electrónicos. </w:t>
      </w:r>
      <w:r w:rsidRPr="000E1D56">
        <w:rPr>
          <w:color w:val="000000"/>
        </w:rPr>
        <w:t>Para que una pieza procesal sea válida, para los efectos procesales, requiere una firma digital, electrónica y holográfica consistente en la identificación inequívoca del suscriptor y puede darse en las siguientes formas:</w:t>
      </w:r>
    </w:p>
    <w:p w14:paraId="7142DE08" w14:textId="77777777" w:rsidR="000E1D56" w:rsidRPr="000E1D56" w:rsidRDefault="000E1D56" w:rsidP="000E1D56">
      <w:pPr>
        <w:shd w:val="clear" w:color="auto" w:fill="FFFFFF"/>
        <w:jc w:val="both"/>
        <w:rPr>
          <w:color w:val="000000"/>
        </w:rPr>
      </w:pPr>
      <w:r w:rsidRPr="000E1D56">
        <w:rPr>
          <w:color w:val="000000"/>
        </w:rPr>
        <w:t>a) Firma digital basada en un certificado digital emitido por Autoridad Certificadora acreditada.</w:t>
      </w:r>
    </w:p>
    <w:p w14:paraId="2D4CDF1B" w14:textId="77777777" w:rsidR="000E1D56" w:rsidRPr="000E1D56" w:rsidRDefault="000E1D56" w:rsidP="000E1D56">
      <w:pPr>
        <w:shd w:val="clear" w:color="auto" w:fill="FFFFFF"/>
        <w:jc w:val="both"/>
        <w:rPr>
          <w:color w:val="000000"/>
        </w:rPr>
      </w:pPr>
      <w:r w:rsidRPr="000E1D56">
        <w:rPr>
          <w:color w:val="000000"/>
        </w:rPr>
        <w:t>b) Firma electrónica mediante registro como persona usuaria en el Poder Judicial.</w:t>
      </w:r>
    </w:p>
    <w:p w14:paraId="7917CE92" w14:textId="77777777" w:rsidR="000E1D56" w:rsidRPr="000E1D56" w:rsidRDefault="000E1D56" w:rsidP="000E1D56">
      <w:pPr>
        <w:shd w:val="clear" w:color="auto" w:fill="FFFFFF"/>
        <w:jc w:val="both"/>
        <w:rPr>
          <w:color w:val="000000"/>
        </w:rPr>
      </w:pPr>
      <w:r w:rsidRPr="000E1D56">
        <w:rPr>
          <w:color w:val="000000"/>
        </w:rPr>
        <w:t>c) Firma holográfica mediante dispositivo o capturador de firmas utilizado por despachos y fiscalías electrónicas.</w:t>
      </w:r>
    </w:p>
    <w:p w14:paraId="215CA6FC" w14:textId="77777777" w:rsidR="000E1D56" w:rsidRPr="000E1D56" w:rsidRDefault="000E1D56" w:rsidP="000E1D56">
      <w:pPr>
        <w:shd w:val="clear" w:color="auto" w:fill="FFFFFF"/>
        <w:jc w:val="both"/>
        <w:rPr>
          <w:color w:val="000000"/>
        </w:rPr>
      </w:pPr>
      <w:r w:rsidRPr="000E1D56">
        <w:rPr>
          <w:color w:val="000000"/>
        </w:rPr>
        <w:t>Todos los actos procesales del proceso electrónico serán firmados conforme a lo dispuesto en este artículo.</w:t>
      </w:r>
    </w:p>
    <w:p w14:paraId="7A7ED368" w14:textId="77777777" w:rsidR="000E1D56" w:rsidRPr="000E1D56" w:rsidRDefault="000E1D56" w:rsidP="000E1D56">
      <w:pPr>
        <w:shd w:val="clear" w:color="auto" w:fill="FFFFFF"/>
        <w:jc w:val="both"/>
        <w:rPr>
          <w:color w:val="000000"/>
        </w:rPr>
      </w:pPr>
      <w:r w:rsidRPr="000E1D56">
        <w:rPr>
          <w:b/>
          <w:bCs/>
          <w:color w:val="000000"/>
        </w:rPr>
        <w:t>Artículo 3 Acreditación de la firma.</w:t>
      </w:r>
      <w:r w:rsidRPr="000E1D56">
        <w:rPr>
          <w:color w:val="000000"/>
        </w:rPr>
        <w:t> La acreditación ante el Poder Judicial será realizada mediante procedimiento en el cual se asegurará la adecuada identificación de la persona interesada.</w:t>
      </w:r>
    </w:p>
    <w:p w14:paraId="6E813005" w14:textId="77777777" w:rsidR="000E1D56" w:rsidRPr="000E1D56" w:rsidRDefault="000E1D56" w:rsidP="000E1D56">
      <w:pPr>
        <w:shd w:val="clear" w:color="auto" w:fill="FFFFFF"/>
        <w:jc w:val="both"/>
        <w:rPr>
          <w:color w:val="000000"/>
        </w:rPr>
      </w:pPr>
      <w:r w:rsidRPr="000E1D56">
        <w:rPr>
          <w:color w:val="000000"/>
        </w:rPr>
        <w:t>A la persona acreditada le será atribuido un registro y un medio de acceso al sistema, de modo que se preserven la privacidad, el secreto, la identificación y la autenticidad de sus comunicaciones. Los órganos del Poder Judicial deberán crear un registro único para la acreditación prevista en este artículo.</w:t>
      </w:r>
    </w:p>
    <w:p w14:paraId="6D1C17BD" w14:textId="77777777" w:rsidR="000E1D56" w:rsidRPr="000E1D56" w:rsidRDefault="000E1D56" w:rsidP="000E1D56">
      <w:pPr>
        <w:shd w:val="clear" w:color="auto" w:fill="FFFFFF"/>
        <w:jc w:val="both"/>
        <w:rPr>
          <w:color w:val="000000"/>
        </w:rPr>
      </w:pPr>
      <w:r w:rsidRPr="000E1D56">
        <w:rPr>
          <w:b/>
          <w:bCs/>
          <w:color w:val="000000"/>
        </w:rPr>
        <w:lastRenderedPageBreak/>
        <w:t>Artículo 4 Neutralidad tecnológica.</w:t>
      </w:r>
      <w:r w:rsidRPr="000E1D56">
        <w:rPr>
          <w:color w:val="000000"/>
        </w:rPr>
        <w:t> Los sistemas informáticos del Poder Judicial deberán ser compatibles con diversas tecnologías, en procura de la neutralidad tecnológica y su accesibilidad. Además, se deberá garantizar la continuidad del servicio.</w:t>
      </w:r>
    </w:p>
    <w:p w14:paraId="69C7AB76" w14:textId="77777777" w:rsidR="000E1D56" w:rsidRPr="000E1D56" w:rsidRDefault="000E1D56" w:rsidP="000E1D56">
      <w:pPr>
        <w:shd w:val="clear" w:color="auto" w:fill="FFFFFF"/>
        <w:jc w:val="both"/>
        <w:rPr>
          <w:color w:val="000000"/>
        </w:rPr>
      </w:pPr>
      <w:r w:rsidRPr="000E1D56">
        <w:rPr>
          <w:b/>
          <w:bCs/>
          <w:color w:val="000000"/>
        </w:rPr>
        <w:t>Artículo 5.</w:t>
      </w:r>
      <w:r w:rsidRPr="000E1D56">
        <w:rPr>
          <w:color w:val="000000"/>
        </w:rPr>
        <w:t> Días y horas hábiles. Todos lo días y horas serán hábiles para presentar gestiones por vía electrónica. Las presentadas en días y horas en que los tribunales estén cerrados, se tendrán por recibidas el día hábil siguiente.</w:t>
      </w:r>
    </w:p>
    <w:p w14:paraId="2C09CD2C" w14:textId="3C300173" w:rsidR="000E1D56" w:rsidRDefault="000E1D56" w:rsidP="000E1D56">
      <w:pPr>
        <w:shd w:val="clear" w:color="auto" w:fill="FFFFFF"/>
        <w:jc w:val="both"/>
        <w:rPr>
          <w:color w:val="000000"/>
        </w:rPr>
      </w:pPr>
      <w:r w:rsidRPr="000E1D56">
        <w:rPr>
          <w:color w:val="000000"/>
        </w:rPr>
        <w:t>Cuando la actuación o gestión tenga como finalidad cumplir un plazo, se consideraran presentados en tiempo los recibidos hasta las 24 horas del último día del plazo. Si el sistema del Poder Judicial estuviera inaccesible por motivos técnicos, el plazo se prorrogará hasta el primer día hábil siguiente a la solución del problema.</w:t>
      </w:r>
    </w:p>
    <w:p w14:paraId="18B460A3" w14:textId="77777777" w:rsidR="000E1D56" w:rsidRPr="000E1D56" w:rsidRDefault="000E1D56" w:rsidP="000E1D56">
      <w:pPr>
        <w:shd w:val="clear" w:color="auto" w:fill="FFFFFF"/>
        <w:jc w:val="both"/>
        <w:rPr>
          <w:color w:val="000000"/>
        </w:rPr>
      </w:pPr>
    </w:p>
    <w:p w14:paraId="0F10DBC4" w14:textId="77777777" w:rsidR="000E1D56" w:rsidRPr="000E1D56" w:rsidRDefault="000E1D56" w:rsidP="000E1D56">
      <w:pPr>
        <w:shd w:val="clear" w:color="auto" w:fill="FFFFFF"/>
        <w:jc w:val="both"/>
        <w:rPr>
          <w:color w:val="000000"/>
        </w:rPr>
      </w:pPr>
      <w:r w:rsidRPr="000E1D56">
        <w:rPr>
          <w:color w:val="000000"/>
        </w:rPr>
        <w:t>CAPÍTULO II</w:t>
      </w:r>
    </w:p>
    <w:p w14:paraId="14CBAC52" w14:textId="77777777" w:rsidR="000E1D56" w:rsidRPr="000E1D56" w:rsidRDefault="000E1D56" w:rsidP="000E1D56">
      <w:pPr>
        <w:shd w:val="clear" w:color="auto" w:fill="FFFFFF"/>
        <w:jc w:val="both"/>
        <w:rPr>
          <w:color w:val="000000"/>
        </w:rPr>
      </w:pPr>
      <w:r w:rsidRPr="000E1D56">
        <w:rPr>
          <w:b/>
          <w:bCs/>
          <w:color w:val="000000"/>
        </w:rPr>
        <w:t>Del proceso electrónico</w:t>
      </w:r>
    </w:p>
    <w:p w14:paraId="649E8F84" w14:textId="77777777" w:rsidR="000E1D56" w:rsidRPr="000E1D56" w:rsidRDefault="000E1D56" w:rsidP="000E1D56">
      <w:pPr>
        <w:shd w:val="clear" w:color="auto" w:fill="FFFFFF"/>
        <w:jc w:val="both"/>
        <w:rPr>
          <w:color w:val="000000"/>
        </w:rPr>
      </w:pPr>
      <w:r w:rsidRPr="000E1D56">
        <w:rPr>
          <w:b/>
          <w:bCs/>
          <w:color w:val="000000"/>
        </w:rPr>
        <w:t>Artículo 6 Acceso a la información de la persona usuaria.</w:t>
      </w:r>
      <w:r w:rsidRPr="000E1D56">
        <w:rPr>
          <w:color w:val="000000"/>
        </w:rPr>
        <w:t> Cada oficina y despacho judicial, deberá garantizar el derecho de acceso a la información y acceso a la Justicia de las personas usuarias que se encuentran en condición de desventaja en cuanto al uso de la tecnología disponible (brecha digital) y las poblaciones en condición de vulnerabilidad, identificadas según las Cien Reglas de Brasilia; por lo que, por ningún motivo el uso de la tecnología se convertirá en una barrera u obstáculo para el ejercicio de esos derechos.</w:t>
      </w:r>
    </w:p>
    <w:p w14:paraId="31F4B0F7" w14:textId="77777777" w:rsidR="000E1D56" w:rsidRPr="000E1D56" w:rsidRDefault="000E1D56" w:rsidP="000E1D56">
      <w:pPr>
        <w:shd w:val="clear" w:color="auto" w:fill="FFFFFF"/>
        <w:jc w:val="both"/>
        <w:rPr>
          <w:color w:val="000000"/>
        </w:rPr>
      </w:pPr>
      <w:r w:rsidRPr="000E1D56">
        <w:rPr>
          <w:color w:val="000000"/>
        </w:rPr>
        <w:t>En caso de que la persona usuaria no tenga acceso a los medios tecnológicos, o bien, se encuentre en condición de vulnerabilidad, y así lo haga saber, se procederá a facilitar la información de la forma que lo requiera según las necesidades particulares (audio, braille, CD, llave de almacenamiento, fotocopia, impresa, otros).</w:t>
      </w:r>
    </w:p>
    <w:p w14:paraId="1335D0CB" w14:textId="77777777" w:rsidR="000E1D56" w:rsidRPr="000E1D56" w:rsidRDefault="000E1D56" w:rsidP="000E1D56">
      <w:pPr>
        <w:shd w:val="clear" w:color="auto" w:fill="FFFFFF"/>
        <w:jc w:val="both"/>
        <w:rPr>
          <w:color w:val="000000"/>
        </w:rPr>
      </w:pPr>
      <w:r w:rsidRPr="000E1D56">
        <w:rPr>
          <w:b/>
          <w:bCs/>
          <w:color w:val="000000"/>
        </w:rPr>
        <w:t>Artículo 7 Proceso electrónico.</w:t>
      </w:r>
      <w:r w:rsidRPr="000E1D56">
        <w:rPr>
          <w:color w:val="000000"/>
        </w:rPr>
        <w:t> El Poder Judicial desarrollará sistemas de procesamiento de las acciones judiciales cero papel, por medio de actos, resoluciones y comunicaciones digitales, utilizando, preferentemente, la red mundial Internet y acceso por medio de redes internas o aquellas que surjan conforme los avances tecnológicos.</w:t>
      </w:r>
    </w:p>
    <w:p w14:paraId="1297C627" w14:textId="77777777" w:rsidR="000E1D56" w:rsidRPr="000E1D56" w:rsidRDefault="000E1D56" w:rsidP="000E1D56">
      <w:pPr>
        <w:shd w:val="clear" w:color="auto" w:fill="FFFFFF"/>
        <w:jc w:val="both"/>
        <w:rPr>
          <w:color w:val="000000"/>
        </w:rPr>
      </w:pPr>
      <w:r w:rsidRPr="000E1D56">
        <w:rPr>
          <w:color w:val="000000"/>
        </w:rPr>
        <w:t>El Poder Judicial deberá mantener equipos de digitalización y de acceso a la red mundial Internet a disposición de las personas en condición de vulnerabilidad.</w:t>
      </w:r>
    </w:p>
    <w:p w14:paraId="639987CE" w14:textId="77777777" w:rsidR="000E1D56" w:rsidRPr="000E1D56" w:rsidRDefault="000E1D56" w:rsidP="000E1D56">
      <w:pPr>
        <w:shd w:val="clear" w:color="auto" w:fill="FFFFFF"/>
        <w:jc w:val="both"/>
        <w:rPr>
          <w:color w:val="000000"/>
        </w:rPr>
      </w:pPr>
      <w:r w:rsidRPr="000E1D56">
        <w:rPr>
          <w:b/>
          <w:bCs/>
          <w:color w:val="000000"/>
        </w:rPr>
        <w:t>Artículo 8 Comunicaciones judiciales.</w:t>
      </w:r>
      <w:r w:rsidRPr="000E1D56">
        <w:rPr>
          <w:color w:val="000000"/>
        </w:rPr>
        <w:t> En el proceso electrónico, todas las comunicaciones judiciales serán efectuadas por medio electrónico.</w:t>
      </w:r>
    </w:p>
    <w:p w14:paraId="13FBC82C" w14:textId="77777777" w:rsidR="000E1D56" w:rsidRPr="000E1D56" w:rsidRDefault="000E1D56" w:rsidP="000E1D56">
      <w:pPr>
        <w:shd w:val="clear" w:color="auto" w:fill="FFFFFF"/>
        <w:jc w:val="both"/>
        <w:rPr>
          <w:color w:val="000000"/>
        </w:rPr>
      </w:pPr>
      <w:r w:rsidRPr="000E1D56">
        <w:rPr>
          <w:color w:val="000000"/>
        </w:rPr>
        <w:t>Las comunicaciones judiciales electrónicas, que posibiliten el acceso integral a las piezas del proceso correspondiente, serán equivalentes a las presenciales para todos los efectos legales.</w:t>
      </w:r>
    </w:p>
    <w:p w14:paraId="3D3B0DC3" w14:textId="77777777" w:rsidR="000E1D56" w:rsidRPr="000E1D56" w:rsidRDefault="000E1D56" w:rsidP="000E1D56">
      <w:pPr>
        <w:shd w:val="clear" w:color="auto" w:fill="FFFFFF"/>
        <w:jc w:val="both"/>
        <w:rPr>
          <w:color w:val="000000"/>
        </w:rPr>
      </w:pPr>
      <w:r w:rsidRPr="000E1D56">
        <w:rPr>
          <w:color w:val="000000"/>
        </w:rPr>
        <w:t>Cuando, por motivo técnico, resulte inviable el uso del medio electrónico para la realización de la comunicación judicial, ese acto procesal podrá ser practicado según las reglas ordinarias, digitalizándose el documento físico, que deberá ser devuelto a la parte o en su defecto destruido por la oficina judicial.</w:t>
      </w:r>
    </w:p>
    <w:p w14:paraId="1D8BBA26" w14:textId="77777777" w:rsidR="000E1D56" w:rsidRPr="000E1D56" w:rsidRDefault="000E1D56" w:rsidP="000E1D56">
      <w:pPr>
        <w:shd w:val="clear" w:color="auto" w:fill="FFFFFF"/>
        <w:jc w:val="both"/>
        <w:rPr>
          <w:color w:val="000000"/>
        </w:rPr>
      </w:pPr>
      <w:r w:rsidRPr="000E1D56">
        <w:rPr>
          <w:b/>
          <w:bCs/>
          <w:color w:val="000000"/>
        </w:rPr>
        <w:t>Artículo 9 Comunicación entre despachos.</w:t>
      </w:r>
      <w:r w:rsidRPr="000E1D56">
        <w:rPr>
          <w:color w:val="000000"/>
        </w:rPr>
        <w:t xml:space="preserve"> Para el trámite de los procesos judiciales electrónicos, se deberá considerar en cada caso, las limitaciones tecnológicas (brecha digital) de aquellos despachos y oficinas judiciales involucradas, que se encuentran en condición de desventaja en cuanto al uso de medios electrónicos. En estos casos, la información se deberá remitir por los medios que garanticen su acceso, identidad, preservación e integridad de los datos. Cuando el despacho destinatario tenga una gestión judicial con soporte de papel y se encuentre en condiciones de desventaja o rezago tecnológico, la oficina remitente le enviará </w:t>
      </w:r>
      <w:r w:rsidRPr="000E1D56">
        <w:rPr>
          <w:color w:val="000000"/>
        </w:rPr>
        <w:lastRenderedPageBreak/>
        <w:t>la información en papel. Esta misma regla se observará en el trasiego de información entre el Organismo de Investigación Judicial, la Defensa Pública y el Ministerio Público.</w:t>
      </w:r>
    </w:p>
    <w:p w14:paraId="14710226" w14:textId="77777777" w:rsidR="000E1D56" w:rsidRPr="000E1D56" w:rsidRDefault="000E1D56" w:rsidP="000E1D56">
      <w:pPr>
        <w:shd w:val="clear" w:color="auto" w:fill="FFFFFF"/>
        <w:jc w:val="both"/>
        <w:rPr>
          <w:color w:val="000000"/>
        </w:rPr>
      </w:pPr>
      <w:r w:rsidRPr="000E1D56">
        <w:rPr>
          <w:b/>
          <w:bCs/>
          <w:color w:val="000000"/>
        </w:rPr>
        <w:t>Artículo 10 Formas de presentación del acto procesal.</w:t>
      </w:r>
      <w:r w:rsidRPr="000E1D56">
        <w:rPr>
          <w:color w:val="000000"/>
        </w:rPr>
        <w:t> Todo acto procesal o gestión de partes deberá ser presentado en formato digital dentro del proceso electrónico. Estos pueden ser hechos directamente por los abogados y abogadas públicos y privados, por la parte interesada o por un tercero acreditado, sin necesidad de presentación física en el despacho. Los juzgados, tribunales y fiscalías electrónicas podrán requerir la comparecencia de la persona interesada, cuando existan motivos para presumir la adulteración o falsedad del acto o gestión. Si la parte lo requiere, se podrá suministrar un acuse de recibo electrónico. La tramitación de estos actos o gestiones deberá darse de forma expedita.</w:t>
      </w:r>
    </w:p>
    <w:p w14:paraId="4E6C2413" w14:textId="77777777" w:rsidR="000E1D56" w:rsidRPr="000E1D56" w:rsidRDefault="000E1D56" w:rsidP="000E1D56">
      <w:pPr>
        <w:shd w:val="clear" w:color="auto" w:fill="FFFFFF"/>
        <w:jc w:val="both"/>
        <w:rPr>
          <w:color w:val="000000"/>
        </w:rPr>
      </w:pPr>
      <w:r w:rsidRPr="000E1D56">
        <w:rPr>
          <w:color w:val="000000"/>
        </w:rPr>
        <w:t>Los originales de los documentos digitalizados deberán ser conservados por la parte, quien los presentará al despacho en el momento que lo requiera.</w:t>
      </w:r>
    </w:p>
    <w:p w14:paraId="25B0D68E" w14:textId="77777777" w:rsidR="000E1D56" w:rsidRPr="000E1D56" w:rsidRDefault="000E1D56" w:rsidP="000E1D56">
      <w:pPr>
        <w:shd w:val="clear" w:color="auto" w:fill="FFFFFF"/>
        <w:jc w:val="both"/>
        <w:rPr>
          <w:color w:val="000000"/>
        </w:rPr>
      </w:pPr>
      <w:r w:rsidRPr="000E1D56">
        <w:rPr>
          <w:b/>
          <w:bCs/>
          <w:color w:val="000000"/>
        </w:rPr>
        <w:t>Artículo 11 Equivalencia funcional de los documentos.</w:t>
      </w:r>
      <w:r w:rsidRPr="000E1D56">
        <w:rPr>
          <w:color w:val="000000"/>
        </w:rPr>
        <w:t> Los documentos producidos electrónicamente y presentados en los procesos electrónicos con garantía de su origen y signatario, en la forma establecida en el ordenamiento jurídico, serán considerados originales para todos los efectos legales.</w:t>
      </w:r>
    </w:p>
    <w:p w14:paraId="0C23BD69" w14:textId="77777777" w:rsidR="000E1D56" w:rsidRPr="000E1D56" w:rsidRDefault="000E1D56" w:rsidP="000E1D56">
      <w:pPr>
        <w:shd w:val="clear" w:color="auto" w:fill="FFFFFF"/>
        <w:jc w:val="both"/>
        <w:rPr>
          <w:color w:val="000000"/>
        </w:rPr>
      </w:pPr>
      <w:r w:rsidRPr="000E1D56">
        <w:rPr>
          <w:color w:val="000000"/>
        </w:rPr>
        <w:t>Los extractos digitales y los documentos digitalizados y aportados al expediente judicial electrónico por los órganos jurisdiccionales y sus auxiliares, por el Ministerio Público y sus auxiliares, por las procuradurías, por las autoridades policiales, por las instituciones públicas en general y por abogados y abogadas públicos y privados y toda aquella parte interviniente en el proceso, tienen la misma fuerza probatoria de los originales, sin perjuicio del alegato motivado y fundamentado de adulteración antes o durante el proceso de digitalización. La misma validez y eficacia probatoria, tendrán los testimonios de piezas expedidos en forma electrónica, por el órgano jurisdiccional y las fiscalías electrónicas.</w:t>
      </w:r>
    </w:p>
    <w:p w14:paraId="522624FC" w14:textId="77777777" w:rsidR="000E1D56" w:rsidRPr="000E1D56" w:rsidRDefault="000E1D56" w:rsidP="000E1D56">
      <w:pPr>
        <w:shd w:val="clear" w:color="auto" w:fill="FFFFFF"/>
        <w:jc w:val="both"/>
        <w:rPr>
          <w:color w:val="000000"/>
        </w:rPr>
      </w:pPr>
      <w:r w:rsidRPr="000E1D56">
        <w:rPr>
          <w:color w:val="000000"/>
        </w:rPr>
        <w:t>Los despachos con gestión judicial en soporte de papel, deberán privilegiar el recurso de la digitalización (escaneo) sobre el de la impresión, cuando tengan que expedir testimonios o certificación de piezas destinados a despachos y fiscalías electrónicas.</w:t>
      </w:r>
    </w:p>
    <w:p w14:paraId="1C65A819" w14:textId="77777777" w:rsidR="000E1D56" w:rsidRPr="000E1D56" w:rsidRDefault="000E1D56" w:rsidP="000E1D56">
      <w:pPr>
        <w:shd w:val="clear" w:color="auto" w:fill="FFFFFF"/>
        <w:jc w:val="both"/>
        <w:rPr>
          <w:color w:val="000000"/>
        </w:rPr>
      </w:pPr>
      <w:r w:rsidRPr="000E1D56">
        <w:rPr>
          <w:color w:val="000000"/>
        </w:rPr>
        <w:t>Los documentos cuya digitalización sea técnicamente inviable debido a su gran volumen o por su ilegibilidad deberán ser presentados al despacho en el plazo de 5 días contados desde el envío de la petición electrónica comunicando el hecho, una vez que se haya presentado el documento o los documentos en el despacho correspondiente, y sea posible su digitalización o el escaneo, será la parte quién deberá custodiarlo.</w:t>
      </w:r>
    </w:p>
    <w:p w14:paraId="02EE84AD" w14:textId="77777777" w:rsidR="000E1D56" w:rsidRPr="000E1D56" w:rsidRDefault="000E1D56" w:rsidP="000E1D56">
      <w:pPr>
        <w:shd w:val="clear" w:color="auto" w:fill="FFFFFF"/>
        <w:jc w:val="both"/>
        <w:rPr>
          <w:color w:val="000000"/>
        </w:rPr>
      </w:pPr>
      <w:r w:rsidRPr="000E1D56">
        <w:rPr>
          <w:color w:val="000000"/>
        </w:rPr>
        <w:t>Los documentos digitalizados aportados en proceso electrónico solamente estarán disponibles para acceso por medio de la red mundial Internet para sus respectivas partes procesales, sus representantes y para el Ministerio Público, salvo lo dispuesto en el ordenamiento jurídico para las situaciones de secreto de las piezas.</w:t>
      </w:r>
    </w:p>
    <w:p w14:paraId="1364A02A" w14:textId="77777777" w:rsidR="000E1D56" w:rsidRPr="000E1D56" w:rsidRDefault="000E1D56" w:rsidP="000E1D56">
      <w:pPr>
        <w:shd w:val="clear" w:color="auto" w:fill="FFFFFF"/>
        <w:jc w:val="both"/>
        <w:rPr>
          <w:color w:val="000000"/>
        </w:rPr>
      </w:pPr>
      <w:r w:rsidRPr="000E1D56">
        <w:rPr>
          <w:b/>
          <w:bCs/>
          <w:color w:val="000000"/>
        </w:rPr>
        <w:t>Artículo 12 Conservación y destrucción.</w:t>
      </w:r>
      <w:r w:rsidRPr="000E1D56">
        <w:rPr>
          <w:color w:val="000000"/>
        </w:rPr>
        <w:t> La conservación de los procesos podrá ser efectuada, total o parcialmente, por medios electrónicos.</w:t>
      </w:r>
    </w:p>
    <w:p w14:paraId="16613165" w14:textId="77777777" w:rsidR="000E1D56" w:rsidRPr="000E1D56" w:rsidRDefault="000E1D56" w:rsidP="000E1D56">
      <w:pPr>
        <w:shd w:val="clear" w:color="auto" w:fill="FFFFFF"/>
        <w:jc w:val="both"/>
        <w:rPr>
          <w:color w:val="000000"/>
        </w:rPr>
      </w:pPr>
      <w:r w:rsidRPr="000E1D56">
        <w:rPr>
          <w:color w:val="000000"/>
        </w:rPr>
        <w:t>Los procesos electrónicos deberán ser protegidos por medio de sistemas de seguridad de acceso y almacenados en un medio que garantice la identidad, preservación e integridad de los datos, evitando la formación de legajos paralelos físicos.</w:t>
      </w:r>
    </w:p>
    <w:p w14:paraId="29B0BAC5" w14:textId="77777777" w:rsidR="000E1D56" w:rsidRPr="000E1D56" w:rsidRDefault="000E1D56" w:rsidP="000E1D56">
      <w:pPr>
        <w:shd w:val="clear" w:color="auto" w:fill="FFFFFF"/>
        <w:jc w:val="both"/>
        <w:rPr>
          <w:color w:val="000000"/>
        </w:rPr>
      </w:pPr>
      <w:r w:rsidRPr="000E1D56">
        <w:rPr>
          <w:color w:val="000000"/>
        </w:rPr>
        <w:t xml:space="preserve">Los documentos de procesos electrónicos que deban ser remitidos a otro juzgado o instancia superior, que no disponga de un sistema informático compatible, deberán ser enviados utilizando cualquiera de los medios seguros y confiables a que se refiere el artículo 6 bis de </w:t>
      </w:r>
      <w:r w:rsidRPr="000E1D56">
        <w:rPr>
          <w:color w:val="000000"/>
        </w:rPr>
        <w:lastRenderedPageBreak/>
        <w:t>la Ley Orgánica del Poder Judicial. Cuando el despacho destinatario tenga una gestión judicial con soporte de papel y además se encuentre en condiciones de desventaja o rezago tecnológico, la oficina o juzgado remitente le enviará la información en papel.</w:t>
      </w:r>
    </w:p>
    <w:p w14:paraId="7BF9F18D" w14:textId="77777777" w:rsidR="000E1D56" w:rsidRPr="000E1D56" w:rsidRDefault="000E1D56" w:rsidP="000E1D56">
      <w:pPr>
        <w:shd w:val="clear" w:color="auto" w:fill="FFFFFF"/>
        <w:jc w:val="both"/>
        <w:rPr>
          <w:color w:val="000000"/>
        </w:rPr>
      </w:pPr>
      <w:r w:rsidRPr="000E1D56">
        <w:rPr>
          <w:color w:val="000000"/>
        </w:rPr>
        <w:t>En caso de migrar de un modelo tradicional a un modelo electrónico, los documentos que originalmente se presentaron en papel, serán escaneados por el Poder Judicial para la generación del expediente judicial electrónico. Previa publicación, por edictos, a las partes o sus representantes, se les concederá 30 días hábiles, para que los retiren, pasado ese plazo, se destruirán juntamente con el expediente físico correspondiente.</w:t>
      </w:r>
    </w:p>
    <w:p w14:paraId="3EB4B432" w14:textId="77777777" w:rsidR="000E1D56" w:rsidRPr="000E1D56" w:rsidRDefault="000E1D56" w:rsidP="000E1D56">
      <w:pPr>
        <w:shd w:val="clear" w:color="auto" w:fill="FFFFFF"/>
        <w:jc w:val="both"/>
        <w:rPr>
          <w:color w:val="000000"/>
        </w:rPr>
      </w:pPr>
      <w:r w:rsidRPr="000E1D56">
        <w:rPr>
          <w:color w:val="000000"/>
        </w:rPr>
        <w:t>Las gestiones y documentos físicos que presenten las partes o sus representantes, o interesados en el proceso, destinados a un despacho o fiscalía electrónica, serán digitalizados por las Oficinas de Recepción de Documentos, y luego devueltos con la prevención a los interesados de preservar los documentos originales, hasta el fenecimiento del proceso, y presentarlos en el momento en que la autoridad competente así lo requiera.</w:t>
      </w:r>
    </w:p>
    <w:p w14:paraId="3571B350" w14:textId="5AEC081B" w:rsidR="000E1D56" w:rsidRDefault="000E1D56" w:rsidP="000E1D56">
      <w:pPr>
        <w:shd w:val="clear" w:color="auto" w:fill="FFFFFF"/>
        <w:jc w:val="both"/>
        <w:rPr>
          <w:color w:val="000000"/>
        </w:rPr>
      </w:pPr>
      <w:r w:rsidRPr="000E1D56">
        <w:rPr>
          <w:b/>
          <w:bCs/>
          <w:color w:val="000000"/>
        </w:rPr>
        <w:t>Artículo 13 Registros electrónicos.</w:t>
      </w:r>
      <w:r w:rsidRPr="000E1D56">
        <w:rPr>
          <w:color w:val="000000"/>
        </w:rPr>
        <w:t> Los libros de entrada, reportes, formularios y otros registros de los órganos del Poder Judicial deberán ser generados y almacenados en medio totalmente electrónico.</w:t>
      </w:r>
    </w:p>
    <w:p w14:paraId="2BFFEB2C" w14:textId="77777777" w:rsidR="000E1D56" w:rsidRPr="000E1D56" w:rsidRDefault="000E1D56" w:rsidP="000E1D56">
      <w:pPr>
        <w:shd w:val="clear" w:color="auto" w:fill="FFFFFF"/>
        <w:jc w:val="both"/>
        <w:rPr>
          <w:color w:val="000000"/>
        </w:rPr>
      </w:pPr>
    </w:p>
    <w:p w14:paraId="65F8D309" w14:textId="77777777" w:rsidR="000E1D56" w:rsidRPr="000E1D56" w:rsidRDefault="000E1D56" w:rsidP="000E1D56">
      <w:pPr>
        <w:shd w:val="clear" w:color="auto" w:fill="FFFFFF"/>
        <w:jc w:val="both"/>
        <w:rPr>
          <w:color w:val="000000"/>
        </w:rPr>
      </w:pPr>
      <w:r w:rsidRPr="000E1D56">
        <w:rPr>
          <w:color w:val="000000"/>
        </w:rPr>
        <w:t>CAPÍTULO III</w:t>
      </w:r>
    </w:p>
    <w:p w14:paraId="15C4EB58" w14:textId="77777777" w:rsidR="000E1D56" w:rsidRPr="000E1D56" w:rsidRDefault="000E1D56" w:rsidP="000E1D56">
      <w:pPr>
        <w:shd w:val="clear" w:color="auto" w:fill="FFFFFF"/>
        <w:jc w:val="both"/>
        <w:rPr>
          <w:color w:val="000000"/>
        </w:rPr>
      </w:pPr>
      <w:r w:rsidRPr="000E1D56">
        <w:rPr>
          <w:b/>
          <w:bCs/>
          <w:color w:val="000000"/>
        </w:rPr>
        <w:t>Gestiones de partes en procesos ante el Poder Judicial por</w:t>
      </w:r>
    </w:p>
    <w:p w14:paraId="3E855819" w14:textId="77777777" w:rsidR="000E1D56" w:rsidRPr="000E1D56" w:rsidRDefault="000E1D56" w:rsidP="000E1D56">
      <w:pPr>
        <w:shd w:val="clear" w:color="auto" w:fill="FFFFFF"/>
        <w:jc w:val="both"/>
        <w:rPr>
          <w:color w:val="000000"/>
        </w:rPr>
      </w:pPr>
      <w:r w:rsidRPr="000E1D56">
        <w:rPr>
          <w:b/>
          <w:bCs/>
          <w:color w:val="000000"/>
        </w:rPr>
        <w:t>medios electrónicos, informáticos, telemáticos o semejantes</w:t>
      </w:r>
    </w:p>
    <w:p w14:paraId="1C919BB7" w14:textId="77777777" w:rsidR="000E1D56" w:rsidRPr="000E1D56" w:rsidRDefault="000E1D56" w:rsidP="000E1D56">
      <w:pPr>
        <w:shd w:val="clear" w:color="auto" w:fill="FFFFFF"/>
        <w:jc w:val="both"/>
        <w:rPr>
          <w:color w:val="000000"/>
        </w:rPr>
      </w:pPr>
      <w:r w:rsidRPr="000E1D56">
        <w:rPr>
          <w:b/>
          <w:bCs/>
          <w:color w:val="000000"/>
        </w:rPr>
        <w:t>Artículo 14 Gestión judicial sin soporte de papel.</w:t>
      </w:r>
      <w:r w:rsidRPr="000E1D56">
        <w:rPr>
          <w:color w:val="000000"/>
        </w:rPr>
        <w:t> Las partes, los abogados y abogadas, públicos y privados, e interesados en un proceso deberán gestionar por medios electrónicos sin necesidad de presentación física en el despacho judicial, cumpliendo con los procedimientos establecidos para garantizar la autenticidad, integridad y seguridad de la información, y las disposiciones de este Reglamento. Los juzgados, tribunales y fiscalías electrónicas podrán requerir la comparecencia de la persona interesada, cuando existan motivos para presumir la adulteración o falsedad del acto o gestión.</w:t>
      </w:r>
    </w:p>
    <w:p w14:paraId="190F6CC9" w14:textId="77777777" w:rsidR="000E1D56" w:rsidRPr="000E1D56" w:rsidRDefault="000E1D56" w:rsidP="000E1D56">
      <w:pPr>
        <w:shd w:val="clear" w:color="auto" w:fill="FFFFFF"/>
        <w:jc w:val="both"/>
        <w:rPr>
          <w:color w:val="000000"/>
        </w:rPr>
      </w:pPr>
      <w:r w:rsidRPr="000E1D56">
        <w:rPr>
          <w:color w:val="000000"/>
        </w:rPr>
        <w:t>Las alteraciones que afecten la autenticidad o integridad de los soportes electrónicos, informáticos, magnéticos, ópticos, telemáticos y los producidos por nuevas tecnologías, utilizados por las partes, causarán la pérdida de la validez y eficacia de los mismos.</w:t>
      </w:r>
    </w:p>
    <w:p w14:paraId="7FCD226C" w14:textId="77777777" w:rsidR="000E1D56" w:rsidRPr="000E1D56" w:rsidRDefault="000E1D56" w:rsidP="000E1D56">
      <w:pPr>
        <w:shd w:val="clear" w:color="auto" w:fill="FFFFFF"/>
        <w:jc w:val="both"/>
        <w:rPr>
          <w:color w:val="000000"/>
        </w:rPr>
      </w:pPr>
      <w:r w:rsidRPr="000E1D56">
        <w:rPr>
          <w:b/>
          <w:bCs/>
          <w:color w:val="000000"/>
        </w:rPr>
        <w:t>Artículo 15 Sitio Web Oficial. </w:t>
      </w:r>
      <w:r w:rsidRPr="000E1D56">
        <w:rPr>
          <w:color w:val="000000"/>
        </w:rPr>
        <w:t>La presentación de demandas y denuncias penales nuevas, escritos o cualquier otra gestión ante despachos judiciales o fiscalías, ambos electrónicos, deberá ser realizada electrónicamente, previa acreditación, mediante el Sistema de Gestión en Línea provisto por el Poder Judicial, el cual se encuentra ubicado en el sitio Web oficial de la Institución </w:t>
      </w:r>
      <w:hyperlink r:id="rId7" w:history="1">
        <w:r w:rsidRPr="000E1D56">
          <w:rPr>
            <w:rStyle w:val="Hipervnculo"/>
          </w:rPr>
          <w:t>www.poder-judicial.go.cr</w:t>
        </w:r>
      </w:hyperlink>
      <w:r w:rsidRPr="000E1D56">
        <w:rPr>
          <w:color w:val="000000"/>
        </w:rPr>
        <w:t>.</w:t>
      </w:r>
    </w:p>
    <w:p w14:paraId="7BAE8D68" w14:textId="77777777" w:rsidR="000E1D56" w:rsidRPr="000E1D56" w:rsidRDefault="000E1D56" w:rsidP="000E1D56">
      <w:pPr>
        <w:shd w:val="clear" w:color="auto" w:fill="FFFFFF"/>
        <w:jc w:val="both"/>
        <w:rPr>
          <w:color w:val="000000"/>
        </w:rPr>
      </w:pPr>
      <w:r w:rsidRPr="000E1D56">
        <w:rPr>
          <w:b/>
          <w:bCs/>
          <w:color w:val="000000"/>
        </w:rPr>
        <w:t>Artículo 16 Correo Electrónico.</w:t>
      </w:r>
      <w:r w:rsidRPr="000E1D56">
        <w:rPr>
          <w:color w:val="000000"/>
        </w:rPr>
        <w:t> En caso de que el despacho no cuente con los sistemas indicados en el artículo anterior, se podrá recurrir al uso del correo electrónico, sin perjuicio de lo dispuesto en el artículo 18 de este Reglamento. Para usar un correo electrónico deberá realizarse desde una dirección previamente validada por la Institución de acuerdo con los medios vigentes.</w:t>
      </w:r>
    </w:p>
    <w:p w14:paraId="7273B881" w14:textId="77777777" w:rsidR="000E1D56" w:rsidRPr="000E1D56" w:rsidRDefault="000E1D56" w:rsidP="000E1D56">
      <w:pPr>
        <w:shd w:val="clear" w:color="auto" w:fill="FFFFFF"/>
        <w:jc w:val="both"/>
        <w:rPr>
          <w:color w:val="000000"/>
        </w:rPr>
      </w:pPr>
      <w:r w:rsidRPr="000E1D56">
        <w:rPr>
          <w:b/>
          <w:bCs/>
          <w:color w:val="000000"/>
        </w:rPr>
        <w:t>Artículo 17 Fax.</w:t>
      </w:r>
      <w:r w:rsidRPr="000E1D56">
        <w:rPr>
          <w:color w:val="000000"/>
        </w:rPr>
        <w:t> Los documentos remitidos por fax se consideran válidos sin la necesidad de presentar el original. El abogado, abogada o la parte deberá custodiar el original. Si el Ministerio Público, las partes, o el órgano jurisdiccional, dudan de la autenticidad o contenido, podrán ordenar la presentación del escrito original.</w:t>
      </w:r>
    </w:p>
    <w:p w14:paraId="5C7A1217" w14:textId="77777777" w:rsidR="000E1D56" w:rsidRPr="000E1D56" w:rsidRDefault="000E1D56" w:rsidP="000E1D56">
      <w:pPr>
        <w:shd w:val="clear" w:color="auto" w:fill="FFFFFF"/>
        <w:jc w:val="both"/>
        <w:rPr>
          <w:color w:val="000000"/>
        </w:rPr>
      </w:pPr>
      <w:r w:rsidRPr="000E1D56">
        <w:rPr>
          <w:b/>
          <w:bCs/>
          <w:color w:val="000000"/>
        </w:rPr>
        <w:lastRenderedPageBreak/>
        <w:t>Artículo 18 Validez de documentos electrónicos.</w:t>
      </w:r>
      <w:r w:rsidRPr="000E1D56">
        <w:rPr>
          <w:color w:val="000000"/>
        </w:rPr>
        <w:t> Todos los documentos presentados de forma electrónica y autenticados con firma digital, electrónica y holográfica o registro como persona usuaria del Poder Judicial (correo electrónico, Sistema de Gestión en Línea u otro autorizado), tendrán validez de acuerdo con las reglas establecidas en los artículos 2 y 3 de este Reglamento.</w:t>
      </w:r>
    </w:p>
    <w:p w14:paraId="5214E57B" w14:textId="77777777" w:rsidR="000E1D56" w:rsidRPr="000E1D56" w:rsidRDefault="000E1D56" w:rsidP="000E1D56">
      <w:pPr>
        <w:shd w:val="clear" w:color="auto" w:fill="FFFFFF"/>
        <w:jc w:val="both"/>
        <w:rPr>
          <w:color w:val="000000"/>
        </w:rPr>
      </w:pPr>
      <w:r w:rsidRPr="000E1D56">
        <w:rPr>
          <w:b/>
          <w:bCs/>
          <w:color w:val="000000"/>
        </w:rPr>
        <w:t>Artículo 19 Otros medios telemáticos.</w:t>
      </w:r>
      <w:r w:rsidRPr="000E1D56">
        <w:rPr>
          <w:color w:val="000000"/>
        </w:rPr>
        <w:t> La utilización de dispositivos inalámbricos de transmisión de datos y otros medios similares, conforme avance la tecnología, serán válidos siempre y cuando sean autorizados por la Institución.</w:t>
      </w:r>
    </w:p>
    <w:p w14:paraId="06B47375" w14:textId="77777777" w:rsidR="000E1D56" w:rsidRPr="000E1D56" w:rsidRDefault="000E1D56" w:rsidP="000E1D56">
      <w:pPr>
        <w:shd w:val="clear" w:color="auto" w:fill="FFFFFF"/>
        <w:jc w:val="both"/>
        <w:rPr>
          <w:color w:val="000000"/>
        </w:rPr>
      </w:pPr>
      <w:r w:rsidRPr="000E1D56">
        <w:rPr>
          <w:b/>
          <w:bCs/>
          <w:color w:val="000000"/>
        </w:rPr>
        <w:t>Artículo 20 Falla de medios tecnológicos.</w:t>
      </w:r>
      <w:r w:rsidRPr="000E1D56">
        <w:rPr>
          <w:color w:val="000000"/>
        </w:rPr>
        <w:t> En caso de problemas técnicos graves, que impidan la transmisión y no dependan de la voluntad de la parte, su abogado, o abogada: como la falta de energía eléctrica u otra circunstancia similar, ella deberá demostrarse y se presentará la gestión para su valoración por el juez o jueza, o el fiscal o fiscala a cargo del caso. En casos de urgencia, en los que las personas usuarias indicadas, requieran una pronta respuesta del despacho o fiscalía electrónica, podrán apersonarse ante estos y presentar el escrito correspondiente, invocando el problema técnico y los motivos de urgencia.</w:t>
      </w:r>
    </w:p>
    <w:p w14:paraId="53BE05D3" w14:textId="77777777" w:rsidR="000E1D56" w:rsidRPr="000E1D56" w:rsidRDefault="000E1D56" w:rsidP="000E1D56">
      <w:pPr>
        <w:shd w:val="clear" w:color="auto" w:fill="FFFFFF"/>
        <w:jc w:val="both"/>
        <w:rPr>
          <w:color w:val="000000"/>
        </w:rPr>
      </w:pPr>
      <w:r w:rsidRPr="000E1D56">
        <w:rPr>
          <w:color w:val="000000"/>
        </w:rPr>
        <w:t>Para garantizar la continuidad del servicio público, ante los problemas técnicos indicados, los órganos del Poder Judicial, tomarán las previsiones del caso, para que los despachos judiciales y fiscalías electrónicas, cuenten siempre con el respaldo de los procesos electrónicos.</w:t>
      </w:r>
    </w:p>
    <w:p w14:paraId="3BF263F1" w14:textId="77777777" w:rsidR="000E1D56" w:rsidRPr="000E1D56" w:rsidRDefault="000E1D56" w:rsidP="000E1D56">
      <w:pPr>
        <w:shd w:val="clear" w:color="auto" w:fill="FFFFFF"/>
        <w:jc w:val="both"/>
        <w:rPr>
          <w:color w:val="000000"/>
        </w:rPr>
      </w:pPr>
      <w:r w:rsidRPr="000E1D56">
        <w:rPr>
          <w:b/>
          <w:bCs/>
          <w:color w:val="000000"/>
        </w:rPr>
        <w:t>Disposiciones Finales</w:t>
      </w:r>
    </w:p>
    <w:p w14:paraId="5CF0EACB" w14:textId="77777777" w:rsidR="000E1D56" w:rsidRPr="000E1D56" w:rsidRDefault="000E1D56" w:rsidP="000E1D56">
      <w:pPr>
        <w:shd w:val="clear" w:color="auto" w:fill="FFFFFF"/>
        <w:jc w:val="both"/>
        <w:rPr>
          <w:color w:val="000000"/>
        </w:rPr>
      </w:pPr>
      <w:r w:rsidRPr="000E1D56">
        <w:rPr>
          <w:b/>
          <w:bCs/>
          <w:color w:val="000000"/>
        </w:rPr>
        <w:t>Artículo 21.</w:t>
      </w:r>
      <w:r w:rsidRPr="000E1D56">
        <w:rPr>
          <w:color w:val="000000"/>
        </w:rPr>
        <w:t> Quedan convalidados los actos procesales practicados por medio electrónico hasta la fecha de publicación de este Reglamento, siempre que hayan alcanzado su finalidad sin perjuicio para las partes.</w:t>
      </w:r>
    </w:p>
    <w:p w14:paraId="216C4A36" w14:textId="77777777" w:rsidR="000E1D56" w:rsidRPr="000E1D56" w:rsidRDefault="000E1D56" w:rsidP="000E1D56">
      <w:pPr>
        <w:shd w:val="clear" w:color="auto" w:fill="FFFFFF"/>
        <w:jc w:val="both"/>
        <w:rPr>
          <w:color w:val="000000"/>
        </w:rPr>
      </w:pPr>
      <w:r w:rsidRPr="000E1D56">
        <w:rPr>
          <w:b/>
          <w:bCs/>
          <w:color w:val="000000"/>
        </w:rPr>
        <w:t>Artículo 22.</w:t>
      </w:r>
      <w:r w:rsidRPr="000E1D56">
        <w:rPr>
          <w:color w:val="000000"/>
        </w:rPr>
        <w:t> En todo lo no regulado en este Reglamento, se aplicará el Reglamento a la Ley de Certificados, Firmas Digitales y Documentos Electrónicos, Nº 33018 y deberá interpretarse sin contradecir esa Ley.”</w:t>
      </w:r>
    </w:p>
    <w:p w14:paraId="6B8D39BD" w14:textId="21B98B22" w:rsidR="004B3975" w:rsidRPr="000E1D56" w:rsidRDefault="004B3975" w:rsidP="000E1D56">
      <w:pPr>
        <w:widowControl/>
        <w:suppressAutoHyphens w:val="0"/>
        <w:jc w:val="both"/>
        <w:rPr>
          <w:rFonts w:eastAsia="Times New Roman"/>
          <w:kern w:val="0"/>
          <w:lang w:val="es-CR"/>
        </w:rPr>
      </w:pPr>
    </w:p>
    <w:p w14:paraId="56B84204" w14:textId="59FF16D2" w:rsidR="00635892" w:rsidRPr="000E1D56" w:rsidRDefault="00F915D9" w:rsidP="000E1D56">
      <w:pPr>
        <w:widowControl/>
        <w:suppressAutoHyphens w:val="0"/>
        <w:autoSpaceDE w:val="0"/>
        <w:autoSpaceDN w:val="0"/>
        <w:adjustRightInd w:val="0"/>
        <w:spacing w:line="360" w:lineRule="auto"/>
        <w:jc w:val="both"/>
        <w:rPr>
          <w:rFonts w:eastAsia="Times New Roman"/>
          <w:kern w:val="0"/>
          <w:lang w:eastAsia="es-ES"/>
        </w:rPr>
      </w:pPr>
      <w:r w:rsidRPr="000E1D56">
        <w:rPr>
          <w:color w:val="000000"/>
        </w:rPr>
        <w:t xml:space="preserve"> </w:t>
      </w:r>
      <w:r w:rsidR="00635892" w:rsidRPr="000E1D56">
        <w:rPr>
          <w:b/>
          <w:bCs/>
        </w:rPr>
        <w:t xml:space="preserve">San José, </w:t>
      </w:r>
      <w:r w:rsidR="000E1D56">
        <w:rPr>
          <w:b/>
          <w:bCs/>
        </w:rPr>
        <w:t>29</w:t>
      </w:r>
      <w:r w:rsidR="00307884" w:rsidRPr="000E1D56">
        <w:rPr>
          <w:b/>
          <w:bCs/>
        </w:rPr>
        <w:t xml:space="preserve"> de </w:t>
      </w:r>
      <w:r w:rsidR="000E1D56">
        <w:rPr>
          <w:b/>
          <w:bCs/>
        </w:rPr>
        <w:t>octubre</w:t>
      </w:r>
      <w:r w:rsidR="004B3975" w:rsidRPr="000E1D56">
        <w:rPr>
          <w:b/>
          <w:bCs/>
        </w:rPr>
        <w:t xml:space="preserve"> </w:t>
      </w:r>
      <w:r w:rsidR="00635892" w:rsidRPr="000E1D56">
        <w:rPr>
          <w:b/>
          <w:bCs/>
        </w:rPr>
        <w:t>de 201</w:t>
      </w:r>
      <w:r w:rsidR="000E1D56">
        <w:rPr>
          <w:b/>
          <w:bCs/>
        </w:rPr>
        <w:t>9</w:t>
      </w:r>
      <w:r w:rsidR="00635892" w:rsidRPr="000E1D56">
        <w:rPr>
          <w:b/>
          <w:bCs/>
        </w:rPr>
        <w:t>.</w:t>
      </w:r>
    </w:p>
    <w:p w14:paraId="75C96C2A" w14:textId="2A1B4C9C" w:rsidR="00635892" w:rsidRDefault="00635892" w:rsidP="000E1D56">
      <w:pPr>
        <w:jc w:val="both"/>
        <w:rPr>
          <w:b/>
          <w:bCs/>
        </w:rPr>
      </w:pPr>
    </w:p>
    <w:p w14:paraId="7456B9BC" w14:textId="77777777" w:rsidR="000E1D56" w:rsidRPr="000E1D56" w:rsidRDefault="000E1D56" w:rsidP="000E1D56">
      <w:pPr>
        <w:jc w:val="both"/>
        <w:rPr>
          <w:b/>
          <w:bCs/>
        </w:rPr>
      </w:pPr>
    </w:p>
    <w:p w14:paraId="4B4789DC" w14:textId="77777777" w:rsidR="004B3975" w:rsidRPr="000E1D56" w:rsidRDefault="004B3975" w:rsidP="000E1D56">
      <w:pPr>
        <w:jc w:val="both"/>
        <w:rPr>
          <w:b/>
          <w:bCs/>
          <w:lang w:val="es-ES"/>
        </w:rPr>
      </w:pPr>
    </w:p>
    <w:p w14:paraId="1280877B" w14:textId="77777777" w:rsidR="00635892" w:rsidRPr="000E1D56" w:rsidRDefault="00635892" w:rsidP="000E1D56">
      <w:pPr>
        <w:jc w:val="both"/>
        <w:rPr>
          <w:b/>
          <w:bCs/>
          <w:lang w:val="pt-BR"/>
        </w:rPr>
      </w:pPr>
      <w:r w:rsidRPr="000E1D56">
        <w:rPr>
          <w:b/>
          <w:bCs/>
          <w:lang w:val="pt-BR"/>
        </w:rPr>
        <w:t xml:space="preserve">Lic. </w:t>
      </w:r>
      <w:r w:rsidR="008D5F5B" w:rsidRPr="000E1D56">
        <w:rPr>
          <w:b/>
          <w:bCs/>
          <w:lang w:val="pt-BR"/>
        </w:rPr>
        <w:t>Carlos T. Mora Rodríguez</w:t>
      </w:r>
    </w:p>
    <w:p w14:paraId="67DA22E4" w14:textId="77777777" w:rsidR="00635892" w:rsidRPr="000E1D56" w:rsidRDefault="00635892" w:rsidP="000E1D56">
      <w:pPr>
        <w:jc w:val="both"/>
        <w:rPr>
          <w:b/>
          <w:bCs/>
          <w:lang w:val="pt-BR"/>
        </w:rPr>
      </w:pPr>
      <w:r w:rsidRPr="000E1D56">
        <w:rPr>
          <w:b/>
          <w:bCs/>
          <w:lang w:val="pt-BR"/>
        </w:rPr>
        <w:t>S</w:t>
      </w:r>
      <w:r w:rsidR="008D5F5B" w:rsidRPr="000E1D56">
        <w:rPr>
          <w:b/>
          <w:bCs/>
          <w:lang w:val="pt-BR"/>
        </w:rPr>
        <w:t>ubs</w:t>
      </w:r>
      <w:r w:rsidRPr="000E1D56">
        <w:rPr>
          <w:b/>
          <w:bCs/>
          <w:lang w:val="pt-BR"/>
        </w:rPr>
        <w:t>ecretari</w:t>
      </w:r>
      <w:r w:rsidR="008D5F5B" w:rsidRPr="000E1D56">
        <w:rPr>
          <w:b/>
          <w:bCs/>
          <w:lang w:val="pt-BR"/>
        </w:rPr>
        <w:t>o</w:t>
      </w:r>
      <w:r w:rsidRPr="000E1D56">
        <w:rPr>
          <w:b/>
          <w:bCs/>
          <w:lang w:val="pt-BR"/>
        </w:rPr>
        <w:t xml:space="preserve"> General</w:t>
      </w:r>
      <w:r w:rsidR="008D5F5B" w:rsidRPr="000E1D56">
        <w:rPr>
          <w:b/>
          <w:bCs/>
          <w:lang w:val="pt-BR"/>
        </w:rPr>
        <w:t xml:space="preserve"> interino</w:t>
      </w:r>
    </w:p>
    <w:p w14:paraId="36798149" w14:textId="77777777" w:rsidR="00635892" w:rsidRPr="000E1D56" w:rsidRDefault="00635892" w:rsidP="000E1D56">
      <w:pPr>
        <w:jc w:val="both"/>
        <w:rPr>
          <w:b/>
          <w:bCs/>
          <w:lang w:val="pt-BR"/>
        </w:rPr>
      </w:pPr>
      <w:r w:rsidRPr="000E1D56">
        <w:rPr>
          <w:b/>
          <w:bCs/>
          <w:lang w:val="pt-BR"/>
        </w:rPr>
        <w:t>Corte Suprema de Justicia</w:t>
      </w:r>
    </w:p>
    <w:p w14:paraId="6E619C0B" w14:textId="77777777" w:rsidR="00635892" w:rsidRPr="000E1D56" w:rsidRDefault="00635892" w:rsidP="000E1D56">
      <w:pPr>
        <w:jc w:val="both"/>
        <w:rPr>
          <w:b/>
          <w:bCs/>
          <w:lang w:val="pt-BR"/>
        </w:rPr>
      </w:pPr>
    </w:p>
    <w:p w14:paraId="31AC39A0" w14:textId="0E7AC06E" w:rsidR="00635892" w:rsidRPr="000E1D56" w:rsidRDefault="00635892" w:rsidP="000E1D56">
      <w:pPr>
        <w:pStyle w:val="NormalWeb"/>
        <w:spacing w:before="0" w:after="0"/>
        <w:jc w:val="both"/>
        <w:rPr>
          <w:i/>
          <w:lang w:val="pt-BR"/>
        </w:rPr>
      </w:pPr>
      <w:r w:rsidRPr="000E1D56">
        <w:rPr>
          <w:i/>
          <w:lang w:val="pt-BR"/>
        </w:rPr>
        <w:t xml:space="preserve">Ref.: </w:t>
      </w:r>
      <w:r w:rsidR="000E1D56">
        <w:rPr>
          <w:i/>
          <w:lang w:val="pt-BR"/>
        </w:rPr>
        <w:t>4750-13, 12619-19</w:t>
      </w:r>
      <w:r w:rsidRPr="000E1D56">
        <w:rPr>
          <w:i/>
          <w:lang w:val="pt-BR"/>
        </w:rPr>
        <w:t>.</w:t>
      </w:r>
    </w:p>
    <w:p w14:paraId="372B6AB2" w14:textId="77777777" w:rsidR="009C29C0" w:rsidRPr="000E1D56" w:rsidRDefault="008D5F5B" w:rsidP="000E1D56">
      <w:pPr>
        <w:pStyle w:val="NormalWeb"/>
        <w:spacing w:before="0" w:after="0"/>
        <w:jc w:val="both"/>
        <w:rPr>
          <w:b/>
          <w:bCs/>
          <w:i/>
          <w:lang w:val="pt-BR"/>
        </w:rPr>
      </w:pPr>
      <w:r w:rsidRPr="000E1D56">
        <w:rPr>
          <w:i/>
          <w:lang w:val="pt-BR"/>
        </w:rPr>
        <w:t>Kenneth</w:t>
      </w:r>
    </w:p>
    <w:sectPr w:rsidR="009C29C0" w:rsidRPr="000E1D56" w:rsidSect="00B804DF">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31668" w14:textId="77777777" w:rsidR="008C3758" w:rsidRDefault="008C3758">
      <w:r>
        <w:separator/>
      </w:r>
    </w:p>
  </w:endnote>
  <w:endnote w:type="continuationSeparator" w:id="0">
    <w:p w14:paraId="7E05B8AF" w14:textId="77777777" w:rsidR="008C3758" w:rsidRDefault="008C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A60CA" w14:textId="77777777" w:rsidR="008C3758" w:rsidRDefault="008C3758">
      <w:r>
        <w:separator/>
      </w:r>
    </w:p>
  </w:footnote>
  <w:footnote w:type="continuationSeparator" w:id="0">
    <w:p w14:paraId="349DDB1D" w14:textId="77777777" w:rsidR="008C3758" w:rsidRDefault="008C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F1"/>
    <w:rsid w:val="00005DBB"/>
    <w:rsid w:val="00007097"/>
    <w:rsid w:val="00010D3D"/>
    <w:rsid w:val="000405C8"/>
    <w:rsid w:val="00045081"/>
    <w:rsid w:val="00047F88"/>
    <w:rsid w:val="00064E7C"/>
    <w:rsid w:val="000702C6"/>
    <w:rsid w:val="0007249A"/>
    <w:rsid w:val="00090BD7"/>
    <w:rsid w:val="000913E8"/>
    <w:rsid w:val="0009588A"/>
    <w:rsid w:val="000A240D"/>
    <w:rsid w:val="000B174C"/>
    <w:rsid w:val="000B628E"/>
    <w:rsid w:val="000C1E97"/>
    <w:rsid w:val="000C4BB9"/>
    <w:rsid w:val="000C7EEA"/>
    <w:rsid w:val="000E11E3"/>
    <w:rsid w:val="000E1D56"/>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512C"/>
    <w:rsid w:val="004B2A9B"/>
    <w:rsid w:val="004B3975"/>
    <w:rsid w:val="004B6DC3"/>
    <w:rsid w:val="004C3481"/>
    <w:rsid w:val="004C416D"/>
    <w:rsid w:val="004D2E3D"/>
    <w:rsid w:val="004E73A7"/>
    <w:rsid w:val="004F00CB"/>
    <w:rsid w:val="004F31AA"/>
    <w:rsid w:val="00500CE7"/>
    <w:rsid w:val="005034C4"/>
    <w:rsid w:val="0051662F"/>
    <w:rsid w:val="00517047"/>
    <w:rsid w:val="00523C17"/>
    <w:rsid w:val="0052701A"/>
    <w:rsid w:val="00537936"/>
    <w:rsid w:val="00543B67"/>
    <w:rsid w:val="00545EB9"/>
    <w:rsid w:val="00566F6F"/>
    <w:rsid w:val="005703F6"/>
    <w:rsid w:val="00575E27"/>
    <w:rsid w:val="00577ED0"/>
    <w:rsid w:val="005C1252"/>
    <w:rsid w:val="005C21C7"/>
    <w:rsid w:val="005C48B3"/>
    <w:rsid w:val="005D18BA"/>
    <w:rsid w:val="005E4728"/>
    <w:rsid w:val="006029C0"/>
    <w:rsid w:val="00606B75"/>
    <w:rsid w:val="00615084"/>
    <w:rsid w:val="00630712"/>
    <w:rsid w:val="00635892"/>
    <w:rsid w:val="00635A1D"/>
    <w:rsid w:val="006411F3"/>
    <w:rsid w:val="006424E9"/>
    <w:rsid w:val="0064477F"/>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7F47"/>
    <w:rsid w:val="00713E76"/>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3758"/>
    <w:rsid w:val="008C7D91"/>
    <w:rsid w:val="008D3421"/>
    <w:rsid w:val="008D5F5B"/>
    <w:rsid w:val="008D71C8"/>
    <w:rsid w:val="008E26BC"/>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6815"/>
    <w:rsid w:val="00971DA1"/>
    <w:rsid w:val="00973CD9"/>
    <w:rsid w:val="00986931"/>
    <w:rsid w:val="00996707"/>
    <w:rsid w:val="009A2732"/>
    <w:rsid w:val="009A7D03"/>
    <w:rsid w:val="009B2055"/>
    <w:rsid w:val="009B341D"/>
    <w:rsid w:val="009C29C0"/>
    <w:rsid w:val="009C2A42"/>
    <w:rsid w:val="009C6D64"/>
    <w:rsid w:val="009E017C"/>
    <w:rsid w:val="009E413D"/>
    <w:rsid w:val="009F1689"/>
    <w:rsid w:val="009F1A66"/>
    <w:rsid w:val="00A02C38"/>
    <w:rsid w:val="00A0685D"/>
    <w:rsid w:val="00A13370"/>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24E"/>
    <w:rsid w:val="00AB66FF"/>
    <w:rsid w:val="00AD1340"/>
    <w:rsid w:val="00AD17FF"/>
    <w:rsid w:val="00AD54B7"/>
    <w:rsid w:val="00AE0411"/>
    <w:rsid w:val="00AE6A38"/>
    <w:rsid w:val="00AF1148"/>
    <w:rsid w:val="00AF3C2E"/>
    <w:rsid w:val="00B0260F"/>
    <w:rsid w:val="00B1647F"/>
    <w:rsid w:val="00B24B22"/>
    <w:rsid w:val="00B323B3"/>
    <w:rsid w:val="00B33076"/>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3748"/>
    <w:rsid w:val="00C34914"/>
    <w:rsid w:val="00C43097"/>
    <w:rsid w:val="00C4674C"/>
    <w:rsid w:val="00C51A93"/>
    <w:rsid w:val="00C56B61"/>
    <w:rsid w:val="00C61DD9"/>
    <w:rsid w:val="00C62509"/>
    <w:rsid w:val="00C6690D"/>
    <w:rsid w:val="00C66C8B"/>
    <w:rsid w:val="00C706F4"/>
    <w:rsid w:val="00C72375"/>
    <w:rsid w:val="00C76769"/>
    <w:rsid w:val="00C82F5E"/>
    <w:rsid w:val="00C87428"/>
    <w:rsid w:val="00C95ED3"/>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4586"/>
    <w:rsid w:val="00E26C37"/>
    <w:rsid w:val="00E405F2"/>
    <w:rsid w:val="00E51021"/>
    <w:rsid w:val="00E57928"/>
    <w:rsid w:val="00E638DA"/>
    <w:rsid w:val="00E76B03"/>
    <w:rsid w:val="00E90BC5"/>
    <w:rsid w:val="00EA48CB"/>
    <w:rsid w:val="00EA5E4A"/>
    <w:rsid w:val="00EC2982"/>
    <w:rsid w:val="00ED0EB6"/>
    <w:rsid w:val="00ED7692"/>
    <w:rsid w:val="00EE1747"/>
    <w:rsid w:val="00EE4937"/>
    <w:rsid w:val="00EF6272"/>
    <w:rsid w:val="00F01A7E"/>
    <w:rsid w:val="00F04EB6"/>
    <w:rsid w:val="00F05A62"/>
    <w:rsid w:val="00F136A6"/>
    <w:rsid w:val="00F1380F"/>
    <w:rsid w:val="00F24300"/>
    <w:rsid w:val="00F250C3"/>
    <w:rsid w:val="00F25932"/>
    <w:rsid w:val="00F370C6"/>
    <w:rsid w:val="00F42F63"/>
    <w:rsid w:val="00F46E7C"/>
    <w:rsid w:val="00F60D84"/>
    <w:rsid w:val="00F67287"/>
    <w:rsid w:val="00F679AA"/>
    <w:rsid w:val="00F7626C"/>
    <w:rsid w:val="00F769CA"/>
    <w:rsid w:val="00F83E99"/>
    <w:rsid w:val="00F84EB4"/>
    <w:rsid w:val="00F915D9"/>
    <w:rsid w:val="00F95382"/>
    <w:rsid w:val="00FA2E40"/>
    <w:rsid w:val="00FC1143"/>
    <w:rsid w:val="00FD6425"/>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8AB96"/>
  <w15:chartTrackingRefBased/>
  <w15:docId w15:val="{E54DD2E0-A10A-4629-8C5A-9CB09F21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87973175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der-judicial.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2317</Words>
  <Characters>12745</Characters>
  <Application>Microsoft Office Word</Application>
  <DocSecurity>4</DocSecurity>
  <Lines>106</Lines>
  <Paragraphs>30</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 Claudio Pessoa Quesada</cp:lastModifiedBy>
  <cp:revision>2</cp:revision>
  <cp:lastPrinted>2013-02-08T15:17:00Z</cp:lastPrinted>
  <dcterms:created xsi:type="dcterms:W3CDTF">2019-11-08T17:19:00Z</dcterms:created>
  <dcterms:modified xsi:type="dcterms:W3CDTF">2019-11-08T17:19:00Z</dcterms:modified>
</cp:coreProperties>
</file>